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8" w:rsidRPr="00CE1274" w:rsidRDefault="00E745CC" w:rsidP="00E745CC">
      <w:pPr>
        <w:pStyle w:val="NoSpacing"/>
        <w:rPr>
          <w:rFonts w:ascii="Gill Sans MT" w:hAnsi="Gill Sans MT"/>
          <w:color w:val="404040" w:themeColor="text1" w:themeTint="BF"/>
          <w:sz w:val="36"/>
          <w:szCs w:val="36"/>
        </w:rPr>
      </w:pPr>
      <w:r>
        <w:rPr>
          <w:rFonts w:ascii="Gill Sans MT" w:hAnsi="Gill Sans MT"/>
          <w:color w:val="404040" w:themeColor="text1" w:themeTint="BF"/>
          <w:sz w:val="36"/>
          <w:szCs w:val="36"/>
        </w:rPr>
        <w:t xml:space="preserve">             </w:t>
      </w:r>
      <w:r w:rsidR="00515748" w:rsidRPr="00CE1274">
        <w:rPr>
          <w:rFonts w:ascii="Gill Sans MT" w:hAnsi="Gill Sans MT"/>
          <w:color w:val="404040" w:themeColor="text1" w:themeTint="BF"/>
          <w:sz w:val="36"/>
          <w:szCs w:val="36"/>
        </w:rPr>
        <w:t>Lancashire Shadow Health and Wellbeing Board</w:t>
      </w:r>
    </w:p>
    <w:p w:rsidR="00E62706" w:rsidRDefault="00515748" w:rsidP="00515748">
      <w:pPr>
        <w:pStyle w:val="NoSpacing"/>
        <w:jc w:val="center"/>
        <w:rPr>
          <w:rFonts w:ascii="Gill Sans MT" w:hAnsi="Gill Sans MT"/>
          <w:b/>
          <w:color w:val="006600"/>
          <w:sz w:val="36"/>
          <w:szCs w:val="36"/>
        </w:rPr>
      </w:pPr>
      <w:r w:rsidRPr="00515748">
        <w:rPr>
          <w:rFonts w:ascii="Gill Sans MT" w:hAnsi="Gill Sans MT"/>
          <w:b/>
          <w:color w:val="006600"/>
          <w:sz w:val="36"/>
          <w:szCs w:val="36"/>
        </w:rPr>
        <w:t xml:space="preserve">Strategy Task Group Meeting </w:t>
      </w:r>
    </w:p>
    <w:p w:rsidR="00E62706" w:rsidRPr="008F44D0" w:rsidRDefault="00E62706" w:rsidP="00515748">
      <w:pPr>
        <w:pStyle w:val="NoSpacing"/>
        <w:jc w:val="center"/>
        <w:rPr>
          <w:rFonts w:ascii="Gill Sans MT" w:hAnsi="Gill Sans MT"/>
          <w:b/>
          <w:color w:val="006600"/>
          <w:sz w:val="16"/>
          <w:szCs w:val="16"/>
        </w:rPr>
      </w:pPr>
    </w:p>
    <w:p w:rsidR="00350629" w:rsidRPr="008F44D0" w:rsidRDefault="00350629" w:rsidP="00CE1274">
      <w:pPr>
        <w:pStyle w:val="NoSpacing"/>
        <w:jc w:val="center"/>
        <w:rPr>
          <w:rFonts w:ascii="Gill Sans MT" w:hAnsi="Gill Sans MT"/>
          <w:sz w:val="16"/>
          <w:szCs w:val="16"/>
        </w:rPr>
      </w:pPr>
    </w:p>
    <w:p w:rsidR="00CE1274" w:rsidRPr="007403E2" w:rsidRDefault="00CE1274" w:rsidP="007403E2">
      <w:pPr>
        <w:pStyle w:val="NoSpacing"/>
        <w:jc w:val="center"/>
        <w:rPr>
          <w:rFonts w:ascii="Gill Sans MT" w:hAnsi="Gill Sans MT"/>
          <w:b/>
          <w:color w:val="404040" w:themeColor="text1" w:themeTint="BF"/>
          <w:sz w:val="40"/>
          <w:szCs w:val="40"/>
        </w:rPr>
      </w:pPr>
      <w:r w:rsidRPr="000E129F">
        <w:rPr>
          <w:rFonts w:ascii="Gill Sans MT" w:hAnsi="Gill Sans MT"/>
          <w:b/>
          <w:color w:val="404040" w:themeColor="text1" w:themeTint="BF"/>
          <w:sz w:val="40"/>
          <w:szCs w:val="40"/>
        </w:rPr>
        <w:t xml:space="preserve">Meeting </w:t>
      </w:r>
      <w:proofErr w:type="gramStart"/>
      <w:r w:rsidRPr="000E129F">
        <w:rPr>
          <w:rFonts w:ascii="Gill Sans MT" w:hAnsi="Gill Sans MT"/>
          <w:b/>
          <w:color w:val="404040" w:themeColor="text1" w:themeTint="BF"/>
          <w:sz w:val="40"/>
          <w:szCs w:val="40"/>
        </w:rPr>
        <w:t>Report</w:t>
      </w:r>
      <w:proofErr w:type="gramEnd"/>
      <w:r w:rsidR="00F54F7B">
        <w:rPr>
          <w:rFonts w:ascii="Gill Sans MT" w:hAnsi="Gill Sans MT"/>
          <w:b/>
          <w:color w:val="404040" w:themeColor="text1" w:themeTint="BF"/>
          <w:sz w:val="40"/>
          <w:szCs w:val="40"/>
        </w:rPr>
        <w:br/>
      </w:r>
      <w:r w:rsidR="00F54F7B" w:rsidRPr="00F54F7B">
        <w:rPr>
          <w:rFonts w:ascii="Gill Sans MT" w:hAnsi="Gill Sans MT"/>
          <w:b/>
          <w:color w:val="404040" w:themeColor="text1" w:themeTint="BF"/>
          <w:sz w:val="24"/>
          <w:szCs w:val="24"/>
        </w:rPr>
        <w:t>(Appendix 1 refers)</w:t>
      </w:r>
    </w:p>
    <w:p w:rsidR="008F44D0" w:rsidRPr="00350629" w:rsidRDefault="008F44D0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350629" w:rsidRPr="007C2F73" w:rsidRDefault="00CE1274" w:rsidP="00CE1274">
      <w:pPr>
        <w:pStyle w:val="NoSpacing"/>
        <w:rPr>
          <w:rFonts w:ascii="Gill Sans MT" w:hAnsi="Gill Sans MT"/>
          <w:b/>
          <w:color w:val="404040" w:themeColor="text1" w:themeTint="BF"/>
          <w:sz w:val="32"/>
          <w:szCs w:val="32"/>
        </w:rPr>
      </w:pPr>
      <w:r w:rsidRPr="007C2F73">
        <w:rPr>
          <w:rFonts w:ascii="Gill Sans MT" w:hAnsi="Gill Sans MT"/>
          <w:b/>
          <w:color w:val="404040" w:themeColor="text1" w:themeTint="BF"/>
          <w:sz w:val="32"/>
          <w:szCs w:val="32"/>
        </w:rPr>
        <w:t>Introduction</w:t>
      </w:r>
    </w:p>
    <w:p w:rsidR="00CE1274" w:rsidRPr="00CE1274" w:rsidRDefault="00CE1274" w:rsidP="00CE1274">
      <w:pPr>
        <w:pStyle w:val="NoSpacing"/>
        <w:rPr>
          <w:rFonts w:ascii="Gill Sans MT" w:hAnsi="Gill Sans MT"/>
          <w:sz w:val="16"/>
          <w:szCs w:val="16"/>
        </w:rPr>
      </w:pPr>
    </w:p>
    <w:p w:rsidR="00CE1274" w:rsidRDefault="00CE1274" w:rsidP="00CE1274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report summarises discussions of the Health and Wellbeing Strategy Task Group held on 28</w:t>
      </w:r>
      <w:r w:rsidRPr="00CE127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March</w:t>
      </w:r>
      <w:r w:rsidR="001D08CB">
        <w:rPr>
          <w:rFonts w:ascii="Gill Sans MT" w:hAnsi="Gill Sans MT"/>
          <w:sz w:val="24"/>
          <w:szCs w:val="24"/>
        </w:rPr>
        <w:t xml:space="preserve"> and the 30</w:t>
      </w:r>
      <w:r w:rsidR="001D08CB" w:rsidRPr="001D08CB">
        <w:rPr>
          <w:rFonts w:ascii="Gill Sans MT" w:hAnsi="Gill Sans MT"/>
          <w:sz w:val="24"/>
          <w:szCs w:val="24"/>
          <w:vertAlign w:val="superscript"/>
        </w:rPr>
        <w:t>th</w:t>
      </w:r>
      <w:r w:rsidR="001D08CB">
        <w:rPr>
          <w:rFonts w:ascii="Gill Sans MT" w:hAnsi="Gill Sans MT"/>
          <w:sz w:val="24"/>
          <w:szCs w:val="24"/>
        </w:rPr>
        <w:t xml:space="preserve"> April</w:t>
      </w:r>
      <w:r>
        <w:rPr>
          <w:rFonts w:ascii="Gill Sans MT" w:hAnsi="Gill Sans MT"/>
          <w:sz w:val="24"/>
          <w:szCs w:val="24"/>
        </w:rPr>
        <w:t xml:space="preserve"> 2012.  The meeting</w:t>
      </w:r>
      <w:r w:rsidR="007403E2">
        <w:rPr>
          <w:rFonts w:ascii="Gill Sans MT" w:hAnsi="Gill Sans MT"/>
          <w:sz w:val="24"/>
          <w:szCs w:val="24"/>
        </w:rPr>
        <w:t xml:space="preserve">s discussed production of </w:t>
      </w:r>
      <w:r>
        <w:rPr>
          <w:rFonts w:ascii="Gill Sans MT" w:hAnsi="Gill Sans MT"/>
          <w:sz w:val="24"/>
          <w:szCs w:val="24"/>
        </w:rPr>
        <w:t xml:space="preserve">emerging strategy </w:t>
      </w:r>
      <w:r w:rsidR="007403E2">
        <w:rPr>
          <w:rFonts w:ascii="Gill Sans MT" w:hAnsi="Gill Sans MT"/>
          <w:sz w:val="24"/>
          <w:szCs w:val="24"/>
        </w:rPr>
        <w:t xml:space="preserve">outcomes and shifts that </w:t>
      </w:r>
      <w:r>
        <w:rPr>
          <w:rFonts w:ascii="Gill Sans MT" w:hAnsi="Gill Sans MT"/>
          <w:sz w:val="24"/>
          <w:szCs w:val="24"/>
        </w:rPr>
        <w:t>should be discussed at the shadow Health and Wellbeing Strategy on 9</w:t>
      </w:r>
      <w:r w:rsidRPr="00CE127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May.  The strategy will then be refined for further discussion at the Board meeting on 29</w:t>
      </w:r>
      <w:r w:rsidRPr="00CE127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May and completed for presentation at the Board meeting on 10</w:t>
      </w:r>
      <w:r w:rsidRPr="00CE127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July. </w:t>
      </w:r>
      <w:r w:rsidR="008F44D0">
        <w:rPr>
          <w:rFonts w:ascii="Gill Sans MT" w:hAnsi="Gill Sans MT"/>
          <w:sz w:val="24"/>
          <w:szCs w:val="24"/>
        </w:rPr>
        <w:t xml:space="preserve"> </w:t>
      </w:r>
    </w:p>
    <w:p w:rsidR="00CE1274" w:rsidRDefault="00CE1274" w:rsidP="000E129F">
      <w:pPr>
        <w:pStyle w:val="NoSpacing"/>
        <w:rPr>
          <w:rFonts w:ascii="Gill Sans MT" w:hAnsi="Gill Sans MT"/>
          <w:color w:val="404040" w:themeColor="text1" w:themeTint="BF"/>
          <w:sz w:val="24"/>
          <w:szCs w:val="24"/>
        </w:rPr>
      </w:pPr>
    </w:p>
    <w:p w:rsidR="007403E2" w:rsidRPr="00EA046F" w:rsidRDefault="007403E2" w:rsidP="007403E2">
      <w:pPr>
        <w:pStyle w:val="ListParagraph"/>
        <w:numPr>
          <w:ilvl w:val="0"/>
          <w:numId w:val="30"/>
        </w:numPr>
        <w:ind w:left="360"/>
        <w:rPr>
          <w:rFonts w:ascii="Gill Sans MT" w:hAnsi="Gill Sans MT"/>
          <w:b/>
          <w:color w:val="000000" w:themeColor="text1"/>
          <w:sz w:val="32"/>
          <w:szCs w:val="32"/>
        </w:rPr>
      </w:pPr>
      <w:r w:rsidRPr="00EA046F">
        <w:rPr>
          <w:rFonts w:ascii="Gill Sans MT" w:hAnsi="Gill Sans MT"/>
          <w:b/>
          <w:color w:val="000000" w:themeColor="text1"/>
          <w:sz w:val="32"/>
          <w:szCs w:val="32"/>
        </w:rPr>
        <w:t>Purpose of the strategy</w:t>
      </w:r>
    </w:p>
    <w:p w:rsidR="007403E2" w:rsidRPr="00743532" w:rsidRDefault="007403E2" w:rsidP="007403E2">
      <w:pPr>
        <w:pStyle w:val="NoSpacing"/>
        <w:rPr>
          <w:rFonts w:ascii="Gill Sans MT" w:hAnsi="Gill Sans MT"/>
          <w:color w:val="006600"/>
          <w:sz w:val="24"/>
          <w:szCs w:val="24"/>
        </w:rPr>
      </w:pPr>
      <w:r w:rsidRPr="00743532">
        <w:rPr>
          <w:rFonts w:ascii="Gill Sans MT" w:hAnsi="Gill Sans MT"/>
          <w:b/>
          <w:i/>
          <w:color w:val="006600"/>
          <w:sz w:val="28"/>
          <w:szCs w:val="28"/>
        </w:rPr>
        <w:t>Work together …..</w:t>
      </w:r>
      <w:r w:rsidRPr="00743532">
        <w:rPr>
          <w:rFonts w:ascii="Gill Sans MT" w:hAnsi="Gill Sans MT"/>
          <w:color w:val="006600"/>
          <w:sz w:val="24"/>
          <w:szCs w:val="24"/>
        </w:rPr>
        <w:t xml:space="preserve"> </w:t>
      </w:r>
    </w:p>
    <w:p w:rsidR="007403E2" w:rsidRPr="00743532" w:rsidRDefault="007403E2" w:rsidP="007403E2">
      <w:pPr>
        <w:pStyle w:val="NoSpacing"/>
        <w:rPr>
          <w:rFonts w:ascii="Gill Sans MT" w:hAnsi="Gill Sans MT"/>
          <w:sz w:val="16"/>
          <w:szCs w:val="16"/>
        </w:rPr>
      </w:pPr>
    </w:p>
    <w:p w:rsidR="007403E2" w:rsidRPr="00743532" w:rsidRDefault="007403E2" w:rsidP="007403E2">
      <w:pPr>
        <w:pStyle w:val="NoSpacing"/>
        <w:numPr>
          <w:ilvl w:val="0"/>
          <w:numId w:val="31"/>
        </w:numPr>
        <w:rPr>
          <w:rFonts w:ascii="Gill Sans MT" w:hAnsi="Gill Sans MT"/>
          <w:b/>
          <w:color w:val="404040" w:themeColor="text1" w:themeTint="BF"/>
          <w:sz w:val="24"/>
          <w:szCs w:val="24"/>
        </w:rPr>
      </w:pP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 xml:space="preserve">Achieve shifts in the way that partners work; resulting in more effective collaboration and greater impact on health and wellbeing in Lancashire.  </w:t>
      </w:r>
    </w:p>
    <w:p w:rsidR="007403E2" w:rsidRPr="00743532" w:rsidRDefault="007403E2" w:rsidP="007403E2">
      <w:pPr>
        <w:pStyle w:val="NoSpacing"/>
        <w:rPr>
          <w:rFonts w:ascii="Gill Sans MT" w:hAnsi="Gill Sans MT"/>
          <w:b/>
          <w:color w:val="404040" w:themeColor="text1" w:themeTint="BF"/>
          <w:sz w:val="14"/>
          <w:szCs w:val="14"/>
        </w:rPr>
      </w:pPr>
    </w:p>
    <w:p w:rsidR="007403E2" w:rsidRPr="00743532" w:rsidRDefault="007403E2" w:rsidP="007403E2">
      <w:pPr>
        <w:pStyle w:val="NoSpacing"/>
        <w:numPr>
          <w:ilvl w:val="0"/>
          <w:numId w:val="31"/>
        </w:numPr>
        <w:rPr>
          <w:rFonts w:ascii="Gill Sans MT" w:hAnsi="Gill Sans MT"/>
          <w:b/>
          <w:color w:val="404040" w:themeColor="text1" w:themeTint="BF"/>
          <w:sz w:val="24"/>
          <w:szCs w:val="24"/>
        </w:rPr>
      </w:pP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>Learn the lessons arising from this collaboration to strengthen future working together</w:t>
      </w:r>
    </w:p>
    <w:p w:rsidR="007403E2" w:rsidRPr="00743532" w:rsidRDefault="007403E2" w:rsidP="007403E2">
      <w:pPr>
        <w:pStyle w:val="NoSpacing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7403E2" w:rsidRPr="00743532" w:rsidRDefault="007403E2" w:rsidP="007403E2">
      <w:pPr>
        <w:pStyle w:val="NoSpacing"/>
        <w:rPr>
          <w:rFonts w:ascii="Gill Sans MT" w:hAnsi="Gill Sans MT"/>
          <w:b/>
          <w:i/>
          <w:color w:val="006600"/>
          <w:sz w:val="28"/>
          <w:szCs w:val="28"/>
        </w:rPr>
      </w:pPr>
      <w:r w:rsidRPr="00743532">
        <w:rPr>
          <w:rFonts w:ascii="Gill Sans MT" w:hAnsi="Gill Sans MT"/>
          <w:b/>
          <w:i/>
          <w:color w:val="006600"/>
          <w:sz w:val="28"/>
          <w:szCs w:val="28"/>
        </w:rPr>
        <w:t>…. get results</w:t>
      </w:r>
    </w:p>
    <w:p w:rsidR="007403E2" w:rsidRPr="00743532" w:rsidRDefault="007403E2" w:rsidP="007403E2">
      <w:pPr>
        <w:pStyle w:val="NoSpacing"/>
        <w:rPr>
          <w:rFonts w:ascii="Gill Sans MT" w:hAnsi="Gill Sans MT"/>
          <w:b/>
          <w:i/>
          <w:color w:val="404040" w:themeColor="text1" w:themeTint="BF"/>
          <w:sz w:val="16"/>
          <w:szCs w:val="16"/>
        </w:rPr>
      </w:pPr>
    </w:p>
    <w:p w:rsidR="007403E2" w:rsidRPr="00743532" w:rsidRDefault="007403E2" w:rsidP="007403E2">
      <w:pPr>
        <w:pStyle w:val="NoSpacing"/>
        <w:numPr>
          <w:ilvl w:val="0"/>
          <w:numId w:val="10"/>
        </w:numPr>
        <w:rPr>
          <w:rFonts w:ascii="Gill Sans MT" w:hAnsi="Gill Sans MT"/>
          <w:b/>
          <w:color w:val="404040" w:themeColor="text1" w:themeTint="BF"/>
          <w:sz w:val="24"/>
          <w:szCs w:val="24"/>
        </w:rPr>
      </w:pP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 xml:space="preserve">Deliver </w:t>
      </w:r>
      <w:r w:rsidR="005E6F05">
        <w:rPr>
          <w:rFonts w:ascii="Gill Sans MT" w:hAnsi="Gill Sans MT"/>
          <w:b/>
          <w:color w:val="404040" w:themeColor="text1" w:themeTint="BF"/>
          <w:sz w:val="24"/>
          <w:szCs w:val="24"/>
        </w:rPr>
        <w:t>improvements</w:t>
      </w:r>
      <w:r w:rsidR="005E6F05"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 xml:space="preserve"> </w:t>
      </w: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>in ‘priority outcomes’ in Lancashire.</w:t>
      </w:r>
    </w:p>
    <w:p w:rsidR="007403E2" w:rsidRPr="00743532" w:rsidRDefault="007403E2" w:rsidP="007403E2">
      <w:pPr>
        <w:pStyle w:val="NoSpacing"/>
        <w:rPr>
          <w:rFonts w:ascii="Gill Sans MT" w:hAnsi="Gill Sans MT"/>
          <w:b/>
          <w:color w:val="404040" w:themeColor="text1" w:themeTint="BF"/>
          <w:sz w:val="14"/>
          <w:szCs w:val="14"/>
        </w:rPr>
      </w:pPr>
    </w:p>
    <w:p w:rsidR="007403E2" w:rsidRPr="007403E2" w:rsidRDefault="007403E2" w:rsidP="000E129F">
      <w:pPr>
        <w:pStyle w:val="NoSpacing"/>
        <w:numPr>
          <w:ilvl w:val="0"/>
          <w:numId w:val="10"/>
        </w:numPr>
        <w:rPr>
          <w:rFonts w:ascii="Gill Sans MT" w:hAnsi="Gill Sans MT"/>
          <w:b/>
          <w:color w:val="404040" w:themeColor="text1" w:themeTint="BF"/>
          <w:sz w:val="24"/>
          <w:szCs w:val="24"/>
        </w:rPr>
      </w:pP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 xml:space="preserve">Deliver ‘early wins’ i.e. </w:t>
      </w:r>
      <w:r w:rsidR="005E6F05">
        <w:rPr>
          <w:rFonts w:ascii="Gill Sans MT" w:hAnsi="Gill Sans MT"/>
          <w:b/>
          <w:color w:val="404040" w:themeColor="text1" w:themeTint="BF"/>
          <w:sz w:val="24"/>
          <w:szCs w:val="24"/>
        </w:rPr>
        <w:t>s</w:t>
      </w:r>
      <w:r w:rsidRPr="00743532">
        <w:rPr>
          <w:rFonts w:ascii="Gill Sans MT" w:hAnsi="Gill Sans MT"/>
          <w:b/>
          <w:color w:val="404040" w:themeColor="text1" w:themeTint="BF"/>
          <w:sz w:val="24"/>
          <w:szCs w:val="24"/>
        </w:rPr>
        <w:t>pecific areas for action that will help deliver the priority outcomes whilst ‘modelling’ desired shifts in the ways that partners work together</w:t>
      </w:r>
    </w:p>
    <w:p w:rsidR="007403E2" w:rsidRDefault="007403E2" w:rsidP="000E129F">
      <w:pPr>
        <w:pStyle w:val="NoSpacing"/>
        <w:rPr>
          <w:rFonts w:ascii="Gill Sans MT" w:hAnsi="Gill Sans MT"/>
          <w:color w:val="404040" w:themeColor="text1" w:themeTint="BF"/>
          <w:sz w:val="24"/>
          <w:szCs w:val="24"/>
        </w:rPr>
      </w:pPr>
    </w:p>
    <w:p w:rsidR="007403E2" w:rsidRPr="000E129F" w:rsidRDefault="007403E2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855AAA" w:rsidRPr="00EA046F" w:rsidRDefault="00855AAA" w:rsidP="00E745CC">
      <w:pPr>
        <w:pStyle w:val="NoSpacing"/>
        <w:numPr>
          <w:ilvl w:val="0"/>
          <w:numId w:val="30"/>
        </w:numPr>
        <w:rPr>
          <w:rFonts w:ascii="Gill Sans MT" w:hAnsi="Gill Sans MT"/>
          <w:b/>
          <w:color w:val="404040" w:themeColor="text1" w:themeTint="BF"/>
          <w:sz w:val="32"/>
          <w:szCs w:val="32"/>
        </w:rPr>
      </w:pPr>
      <w:r w:rsidRPr="00EA046F">
        <w:rPr>
          <w:rFonts w:ascii="Gill Sans MT" w:hAnsi="Gill Sans MT"/>
          <w:b/>
          <w:color w:val="404040" w:themeColor="text1" w:themeTint="BF"/>
          <w:sz w:val="32"/>
          <w:szCs w:val="32"/>
        </w:rPr>
        <w:t>The structure of the strategy</w:t>
      </w:r>
    </w:p>
    <w:p w:rsidR="00855AAA" w:rsidRPr="00855AAA" w:rsidRDefault="00855AAA" w:rsidP="00CE1274">
      <w:pPr>
        <w:pStyle w:val="NoSpacing"/>
        <w:rPr>
          <w:rFonts w:ascii="Gill Sans MT" w:hAnsi="Gill Sans MT"/>
          <w:sz w:val="16"/>
          <w:szCs w:val="16"/>
        </w:rPr>
      </w:pPr>
    </w:p>
    <w:p w:rsidR="00CE1274" w:rsidRDefault="00CE1274" w:rsidP="00CE127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Task Group</w:t>
      </w:r>
      <w:r w:rsidR="00855AAA">
        <w:rPr>
          <w:rFonts w:ascii="Gill Sans MT" w:hAnsi="Gill Sans MT"/>
          <w:sz w:val="24"/>
          <w:szCs w:val="24"/>
        </w:rPr>
        <w:t xml:space="preserve"> discussed the possible structure of the Health and Wellbeing Strategy.  It was agreed that the strategy should have three parts;</w:t>
      </w:r>
    </w:p>
    <w:p w:rsidR="00855AAA" w:rsidRDefault="00855AAA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855AAA" w:rsidRPr="00D215B9" w:rsidRDefault="00855AAA" w:rsidP="00D215B9">
      <w:pPr>
        <w:pStyle w:val="NoSpacing"/>
        <w:numPr>
          <w:ilvl w:val="0"/>
          <w:numId w:val="5"/>
        </w:numPr>
        <w:ind w:left="720"/>
        <w:rPr>
          <w:rFonts w:ascii="Gill Sans MT" w:hAnsi="Gill Sans MT"/>
          <w:sz w:val="24"/>
          <w:szCs w:val="24"/>
        </w:rPr>
      </w:pPr>
      <w:r w:rsidRPr="00D215B9">
        <w:rPr>
          <w:rFonts w:ascii="Gill Sans MT" w:hAnsi="Gill Sans MT"/>
          <w:b/>
          <w:sz w:val="24"/>
          <w:szCs w:val="24"/>
        </w:rPr>
        <w:t>The current position</w:t>
      </w:r>
      <w:r w:rsidRPr="00D215B9">
        <w:rPr>
          <w:rFonts w:ascii="Gill Sans MT" w:hAnsi="Gill Sans MT"/>
          <w:sz w:val="24"/>
          <w:szCs w:val="24"/>
        </w:rPr>
        <w:t xml:space="preserve">.  A concise analysis and summary of the </w:t>
      </w:r>
      <w:r w:rsidR="005E6F05">
        <w:rPr>
          <w:rFonts w:ascii="Gill Sans MT" w:hAnsi="Gill Sans MT"/>
          <w:sz w:val="24"/>
          <w:szCs w:val="24"/>
        </w:rPr>
        <w:t xml:space="preserve">intelligence </w:t>
      </w:r>
      <w:r w:rsidR="005E6F05" w:rsidRPr="00D215B9">
        <w:rPr>
          <w:rFonts w:ascii="Gill Sans MT" w:hAnsi="Gill Sans MT"/>
          <w:sz w:val="24"/>
          <w:szCs w:val="24"/>
        </w:rPr>
        <w:t>available</w:t>
      </w:r>
      <w:r w:rsidRPr="00D215B9">
        <w:rPr>
          <w:rFonts w:ascii="Gill Sans MT" w:hAnsi="Gill Sans MT"/>
          <w:sz w:val="24"/>
          <w:szCs w:val="24"/>
        </w:rPr>
        <w:t xml:space="preserve"> currently (e.g. the Joint Strategic Needs Assessment) </w:t>
      </w:r>
      <w:r w:rsidR="005E6F05">
        <w:rPr>
          <w:rFonts w:ascii="Gill Sans MT" w:hAnsi="Gill Sans MT"/>
          <w:sz w:val="24"/>
          <w:szCs w:val="24"/>
        </w:rPr>
        <w:t xml:space="preserve">on </w:t>
      </w:r>
      <w:r w:rsidRPr="00D215B9">
        <w:rPr>
          <w:rFonts w:ascii="Gill Sans MT" w:hAnsi="Gill Sans MT"/>
          <w:sz w:val="24"/>
          <w:szCs w:val="24"/>
        </w:rPr>
        <w:t>health and wellbeing needs and opportunities in Lancashire.</w:t>
      </w:r>
    </w:p>
    <w:p w:rsidR="00855AAA" w:rsidRPr="00D215B9" w:rsidRDefault="00855AAA" w:rsidP="00D215B9">
      <w:pPr>
        <w:pStyle w:val="NoSpacing"/>
        <w:ind w:left="360"/>
        <w:rPr>
          <w:rFonts w:ascii="Gill Sans MT" w:hAnsi="Gill Sans MT"/>
          <w:sz w:val="16"/>
          <w:szCs w:val="16"/>
        </w:rPr>
      </w:pPr>
    </w:p>
    <w:p w:rsidR="00855AAA" w:rsidRPr="00D215B9" w:rsidRDefault="00855AAA" w:rsidP="00D215B9">
      <w:pPr>
        <w:pStyle w:val="NoSpacing"/>
        <w:numPr>
          <w:ilvl w:val="0"/>
          <w:numId w:val="5"/>
        </w:numPr>
        <w:ind w:left="720"/>
        <w:rPr>
          <w:rFonts w:ascii="Gill Sans MT" w:hAnsi="Gill Sans MT"/>
          <w:sz w:val="24"/>
          <w:szCs w:val="24"/>
        </w:rPr>
      </w:pPr>
      <w:r w:rsidRPr="00D215B9">
        <w:rPr>
          <w:rFonts w:ascii="Gill Sans MT" w:hAnsi="Gill Sans MT"/>
          <w:b/>
          <w:sz w:val="24"/>
          <w:szCs w:val="24"/>
        </w:rPr>
        <w:t>Priority shifts in ways of working</w:t>
      </w:r>
      <w:r w:rsidRPr="00D215B9">
        <w:rPr>
          <w:rFonts w:ascii="Gill Sans MT" w:hAnsi="Gill Sans MT"/>
          <w:sz w:val="24"/>
          <w:szCs w:val="24"/>
        </w:rPr>
        <w:t>.</w:t>
      </w:r>
      <w:r w:rsidR="00D215B9">
        <w:rPr>
          <w:rFonts w:ascii="Gill Sans MT" w:hAnsi="Gill Sans MT"/>
          <w:sz w:val="24"/>
          <w:szCs w:val="24"/>
        </w:rPr>
        <w:t xml:space="preserve"> </w:t>
      </w:r>
      <w:r w:rsidR="00A45E46">
        <w:rPr>
          <w:rFonts w:ascii="Gill Sans MT" w:hAnsi="Gill Sans MT"/>
          <w:sz w:val="24"/>
          <w:szCs w:val="24"/>
        </w:rPr>
        <w:t xml:space="preserve"> The specific</w:t>
      </w:r>
      <w:r w:rsidR="00A45E46" w:rsidRPr="00A45E46">
        <w:rPr>
          <w:rFonts w:ascii="Gill Sans MT" w:hAnsi="Gill Sans MT"/>
          <w:sz w:val="24"/>
          <w:szCs w:val="24"/>
        </w:rPr>
        <w:t xml:space="preserve"> shifts in the way that partners work</w:t>
      </w:r>
      <w:r w:rsidR="00A45E46">
        <w:rPr>
          <w:rFonts w:ascii="Gill Sans MT" w:hAnsi="Gill Sans MT"/>
          <w:sz w:val="24"/>
          <w:szCs w:val="24"/>
        </w:rPr>
        <w:t xml:space="preserve"> that will result in</w:t>
      </w:r>
      <w:r w:rsidR="00A45E46" w:rsidRPr="00A45E46">
        <w:rPr>
          <w:rFonts w:ascii="Gill Sans MT" w:hAnsi="Gill Sans MT"/>
          <w:sz w:val="24"/>
          <w:szCs w:val="24"/>
        </w:rPr>
        <w:t xml:space="preserve"> more effective collaboration and greater impact on health and wellbeing</w:t>
      </w:r>
      <w:r w:rsidR="00A45E46">
        <w:rPr>
          <w:rFonts w:ascii="Gill Sans MT" w:hAnsi="Gill Sans MT"/>
          <w:sz w:val="24"/>
          <w:szCs w:val="24"/>
        </w:rPr>
        <w:t xml:space="preserve"> outcomes</w:t>
      </w:r>
      <w:r w:rsidR="00A45E46" w:rsidRPr="00A45E46">
        <w:rPr>
          <w:rFonts w:ascii="Gill Sans MT" w:hAnsi="Gill Sans MT"/>
          <w:sz w:val="24"/>
          <w:szCs w:val="24"/>
        </w:rPr>
        <w:t xml:space="preserve"> in Lancashire</w:t>
      </w:r>
    </w:p>
    <w:p w:rsidR="00855AAA" w:rsidRPr="00D215B9" w:rsidRDefault="00855AAA" w:rsidP="00D215B9">
      <w:pPr>
        <w:pStyle w:val="NoSpacing"/>
        <w:ind w:left="360"/>
        <w:rPr>
          <w:rFonts w:ascii="Gill Sans MT" w:hAnsi="Gill Sans MT"/>
          <w:sz w:val="16"/>
          <w:szCs w:val="16"/>
        </w:rPr>
      </w:pPr>
    </w:p>
    <w:p w:rsidR="00855AAA" w:rsidRPr="00D215B9" w:rsidRDefault="00855AAA" w:rsidP="00D215B9">
      <w:pPr>
        <w:pStyle w:val="NoSpacing"/>
        <w:numPr>
          <w:ilvl w:val="0"/>
          <w:numId w:val="5"/>
        </w:numPr>
        <w:ind w:left="720"/>
        <w:rPr>
          <w:rFonts w:ascii="Gill Sans MT" w:hAnsi="Gill Sans MT"/>
          <w:sz w:val="24"/>
          <w:szCs w:val="24"/>
        </w:rPr>
      </w:pPr>
      <w:r w:rsidRPr="00D215B9">
        <w:rPr>
          <w:rFonts w:ascii="Gill Sans MT" w:hAnsi="Gill Sans MT"/>
          <w:b/>
          <w:sz w:val="24"/>
          <w:szCs w:val="24"/>
        </w:rPr>
        <w:t xml:space="preserve">Priority </w:t>
      </w:r>
      <w:r w:rsidR="005E6F05">
        <w:rPr>
          <w:rFonts w:ascii="Gill Sans MT" w:hAnsi="Gill Sans MT"/>
          <w:b/>
          <w:sz w:val="24"/>
          <w:szCs w:val="24"/>
        </w:rPr>
        <w:t>h</w:t>
      </w:r>
      <w:r w:rsidRPr="00D215B9">
        <w:rPr>
          <w:rFonts w:ascii="Gill Sans MT" w:hAnsi="Gill Sans MT"/>
          <w:b/>
          <w:sz w:val="24"/>
          <w:szCs w:val="24"/>
        </w:rPr>
        <w:t xml:space="preserve">ealth and </w:t>
      </w:r>
      <w:r w:rsidR="005E6F05">
        <w:rPr>
          <w:rFonts w:ascii="Gill Sans MT" w:hAnsi="Gill Sans MT"/>
          <w:b/>
          <w:sz w:val="24"/>
          <w:szCs w:val="24"/>
        </w:rPr>
        <w:t>w</w:t>
      </w:r>
      <w:r w:rsidRPr="00D215B9">
        <w:rPr>
          <w:rFonts w:ascii="Gill Sans MT" w:hAnsi="Gill Sans MT"/>
          <w:b/>
          <w:sz w:val="24"/>
          <w:szCs w:val="24"/>
        </w:rPr>
        <w:t>ellbeing outcomes</w:t>
      </w:r>
      <w:r w:rsidRPr="00D215B9">
        <w:rPr>
          <w:rFonts w:ascii="Gill Sans MT" w:hAnsi="Gill Sans MT"/>
          <w:sz w:val="24"/>
          <w:szCs w:val="24"/>
        </w:rPr>
        <w:t xml:space="preserve">. </w:t>
      </w:r>
      <w:r w:rsidR="00A45E46">
        <w:rPr>
          <w:rFonts w:ascii="Gill Sans MT" w:hAnsi="Gill Sans MT"/>
          <w:sz w:val="24"/>
          <w:szCs w:val="24"/>
        </w:rPr>
        <w:t xml:space="preserve"> The key </w:t>
      </w:r>
      <w:r w:rsidR="005E6F05">
        <w:rPr>
          <w:rFonts w:ascii="Gill Sans MT" w:hAnsi="Gill Sans MT"/>
          <w:sz w:val="24"/>
          <w:szCs w:val="24"/>
        </w:rPr>
        <w:t>improvements to</w:t>
      </w:r>
      <w:r w:rsidR="00A45E46">
        <w:rPr>
          <w:rFonts w:ascii="Gill Sans MT" w:hAnsi="Gill Sans MT"/>
          <w:sz w:val="24"/>
          <w:szCs w:val="24"/>
        </w:rPr>
        <w:t xml:space="preserve"> Health and Wellbeing that the strategy will deliver in Lancashire. </w:t>
      </w:r>
    </w:p>
    <w:p w:rsidR="00855AAA" w:rsidRDefault="00855AAA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0E129F" w:rsidRDefault="00262049" w:rsidP="00C25C57">
      <w:pPr>
        <w:pStyle w:val="NoSpacing"/>
        <w:jc w:val="both"/>
        <w:rPr>
          <w:rFonts w:ascii="Gill Sans MT" w:hAnsi="Gill Sans MT"/>
          <w:sz w:val="24"/>
          <w:szCs w:val="24"/>
        </w:rPr>
      </w:pPr>
      <w:proofErr w:type="gramStart"/>
      <w:r w:rsidRPr="00262049">
        <w:rPr>
          <w:rFonts w:ascii="Gill Sans MT" w:hAnsi="Gill Sans MT"/>
          <w:sz w:val="24"/>
          <w:szCs w:val="24"/>
        </w:rPr>
        <w:lastRenderedPageBreak/>
        <w:t>The inter</w:t>
      </w:r>
      <w:r w:rsidR="007329C3">
        <w:rPr>
          <w:rFonts w:ascii="Gill Sans MT" w:hAnsi="Gill Sans MT"/>
          <w:sz w:val="24"/>
          <w:szCs w:val="24"/>
        </w:rPr>
        <w:t>-</w:t>
      </w:r>
      <w:r w:rsidRPr="00262049">
        <w:rPr>
          <w:rFonts w:ascii="Gill Sans MT" w:hAnsi="Gill Sans MT"/>
          <w:sz w:val="24"/>
          <w:szCs w:val="24"/>
        </w:rPr>
        <w:t xml:space="preserve">relationship </w:t>
      </w:r>
      <w:r w:rsidR="00997D14">
        <w:rPr>
          <w:rFonts w:ascii="Gill Sans MT" w:hAnsi="Gill Sans MT"/>
          <w:sz w:val="24"/>
          <w:szCs w:val="24"/>
        </w:rPr>
        <w:t>between the ‘priority shifts’ and the ‘priority outcomes’ is illustrated in Figure 1.</w:t>
      </w:r>
      <w:proofErr w:type="gramEnd"/>
      <w:r w:rsidR="00997D14">
        <w:rPr>
          <w:rFonts w:ascii="Gill Sans MT" w:hAnsi="Gill Sans MT"/>
          <w:sz w:val="24"/>
          <w:szCs w:val="24"/>
        </w:rPr>
        <w:t xml:space="preserve"> </w:t>
      </w:r>
    </w:p>
    <w:p w:rsidR="00E9126C" w:rsidRPr="00C25C57" w:rsidRDefault="00E9126C" w:rsidP="00C25C57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262049" w:rsidRPr="00262049" w:rsidRDefault="00262049" w:rsidP="008F44D0">
      <w:pPr>
        <w:pStyle w:val="NoSpacing"/>
        <w:rPr>
          <w:rFonts w:ascii="Gill Sans MT" w:hAnsi="Gill Sans MT"/>
          <w:sz w:val="24"/>
          <w:szCs w:val="24"/>
          <w:u w:val="single"/>
        </w:rPr>
      </w:pPr>
      <w:r w:rsidRPr="00262049">
        <w:rPr>
          <w:rFonts w:ascii="Gill Sans MT" w:hAnsi="Gill Sans MT"/>
          <w:sz w:val="24"/>
          <w:szCs w:val="24"/>
          <w:u w:val="single"/>
        </w:rPr>
        <w:t>Figure 1 Overall structure of the health and wellbeing strategy</w:t>
      </w:r>
    </w:p>
    <w:p w:rsidR="00262049" w:rsidRDefault="000E221E" w:rsidP="008F44D0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pict>
          <v:rect id="Rectangle 6" o:spid="_x0000_s1037" style="position:absolute;margin-left:-25.55pt;margin-top:7pt;width:500.15pt;height:26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" filled="f" strokecolor="#243f60 [1604]" strokeweight=".25pt"/>
        </w:pict>
      </w:r>
    </w:p>
    <w:p w:rsidR="00262049" w:rsidRDefault="00262049" w:rsidP="008F44D0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529"/>
        <w:gridCol w:w="1904"/>
      </w:tblGrid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Default="008F44D0" w:rsidP="00CB4BCD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62A62">
              <w:rPr>
                <w:rFonts w:ascii="Gill Sans MT" w:hAnsi="Gill Sans MT"/>
                <w:b/>
                <w:color w:val="006600"/>
                <w:sz w:val="24"/>
                <w:szCs w:val="24"/>
              </w:rPr>
              <w:t>Ways of working</w:t>
            </w:r>
            <w:r w:rsidRPr="00562A62">
              <w:rPr>
                <w:rFonts w:ascii="Gill Sans MT" w:hAnsi="Gill Sans MT"/>
                <w:color w:val="006600"/>
                <w:sz w:val="24"/>
                <w:szCs w:val="24"/>
              </w:rPr>
              <w:t xml:space="preserve"> </w:t>
            </w:r>
            <w:r w:rsidRPr="00562A62">
              <w:rPr>
                <w:rFonts w:ascii="Gill Sans MT" w:hAnsi="Gill Sans MT"/>
                <w:b/>
                <w:sz w:val="32"/>
                <w:szCs w:val="32"/>
              </w:rPr>
              <w:t>2012</w:t>
            </w:r>
          </w:p>
          <w:p w:rsidR="008F44D0" w:rsidRDefault="008F44D0" w:rsidP="00CB4BCD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8F44D0" w:rsidRPr="004B5968" w:rsidRDefault="000E221E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pict>
                <v:group id="Group 15" o:spid="_x0000_s1026" style="position:absolute;left:0;text-align:left;margin-left:-5.3pt;margin-top:4.3pt;width:296.9pt;height:161.8pt;z-index:251665408" coordsize="37710,2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6" o:spid="_x0000_s1027" type="#_x0000_t13" style="position:absolute;left:589;top:8849;width:33821;height:6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z78EA&#10;AADbAAAADwAAAGRycy9kb3ducmV2LnhtbERPTWvCQBC9F/wPywi9NRs9pBqzighCKbRQ46W3aXZM&#10;gtnZkB1N+u+7hUJv83ifU+wm16k7DaH1bGCRpKCIK29brg2cy+PTClQQZIudZzLwTQF229lDgbn1&#10;I3/Q/SS1iiEccjTQiPS51qFqyGFIfE8cuYsfHEqEQ63tgGMMd51epmmmHbYcGxrs6dBQdT3dnAE6&#10;fq209G/vh/AsZVpfLH2+ro15nE/7DSihSf7Ff+4XG+dn8PtLPE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s+/BAAAA2wAAAA8AAAAAAAAAAAAAAAAAmAIAAGRycy9kb3du&#10;cmV2LnhtbFBLBQYAAAAABAAEAPUAAACGAwAAAAA=&#10;" adj="19497" fillcolor="#dce6f2" strokecolor="#385d8a" strokeweight=".25pt"/>
                  <v:shape id="Right Arrow 17" o:spid="_x0000_s1028" type="#_x0000_t13" style="position:absolute;left:-1967;top:6883;width:20548;height:67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6DL4A&#10;AADbAAAADwAAAGRycy9kb3ducmV2LnhtbERPTYvCMBC9L/gfwgje1tQ9uEs1iijCggfR9dDj0Ixp&#10;sZmUJLb13xtB2Ns83ucs14NtREc+1I4VzKYZCOLS6ZqNgsvf/vMHRIjIGhvHpOBBAdar0ccSc+16&#10;PlF3jkakEA45KqhibHMpQ1mRxTB1LXHirs5bjAl6I7XHPoXbRn5l2VxarDk1VNjStqLydr5bBbtM&#10;994OHRZ7H8zhWJhwIqPUZDxsFiAiDfFf/Hb/6jT/G1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C+gy+AAAA2wAAAA8AAAAAAAAAAAAAAAAAmAIAAGRycy9kb3ducmV2&#10;LnhtbFBLBQYAAAAABAAEAPUAAACDAwAAAAA=&#10;" adj="18036" fillcolor="#c3d69b" strokecolor="#060" strokeweight=".25pt"/>
                  <v:shape id="Right Arrow 18" o:spid="_x0000_s1029" type="#_x0000_t13" style="position:absolute;left:6882;top:6883;width:20548;height:67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ufsIA&#10;AADbAAAADwAAAGRycy9kb3ducmV2LnhtbESPQWvDMAyF74X+B6PCbq2zHcZI65bSERjsMNLtkKOI&#10;VSc0loPtJdm/nw6D3STe03ufDqfFD2qimPrABh53BSjiNtienYGvz2r7AiplZItDYDLwQwlOx/Xq&#10;gKUNM9c0XbNTEsKpRANdzmOpdWo78ph2YSQW7RaixyxrdNpGnCXcD/qpKJ61x56locORLh219+u3&#10;N/Ba2Dn6ZcKmism9fzQu1eSMedgs5z2oTEv+N/9dv1nBF1j5RQb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W5+wgAAANsAAAAPAAAAAAAAAAAAAAAAAJgCAABkcnMvZG93&#10;bnJldi54bWxQSwUGAAAAAAQABAD1AAAAhwMAAAAA&#10;" adj="18036" fillcolor="#c3d69b" strokecolor="#060" strokeweight=".25pt"/>
                  <v:shape id="Right Arrow 19" o:spid="_x0000_s1030" type="#_x0000_t13" style="position:absolute;left:589;top:689;width:33821;height:6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ncEA&#10;AADbAAAADwAAAGRycy9kb3ducmV2LnhtbERPTWvCQBC9C/6HZYTezEYPNUldpQhCKSg09tLbNDsm&#10;odnZkJ1q+u9dQehtHu9z1tvRdepCQ2g9G1gkKSjiytuWawOfp/08AxUE2WLnmQz8UYDtZjpZY2H9&#10;lT/oUkqtYgiHAg00In2hdagachgS3xNH7uwHhxLhUGs74DWGu04v0/RZO2w5NjTY066h6qf8dQZo&#10;/51p6Q/HXVjJKa3Plr7ec2OeZuPrCyihUf7FD/ebjfNzuP8SD9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J53BAAAA2wAAAA8AAAAAAAAAAAAAAAAAmAIAAGRycy9kb3du&#10;cmV2LnhtbFBLBQYAAAAABAAEAPUAAACGAwAAAAA=&#10;" adj="19497" fillcolor="#dce6f2" strokecolor="#385d8a" strokeweight=".25pt"/>
                  <v:group id="Group 20" o:spid="_x0000_s1031" style="position:absolute;top:4916;width:35098;height:6585" coordsize="35098,6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Right Arrow 21" o:spid="_x0000_s1032" type="#_x0000_t13" style="position:absolute;width:35098;height:6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ibsYA&#10;AADbAAAADwAAAGRycy9kb3ducmV2LnhtbESPQWvCQBSE74X+h+UJvelGS4ukrqKC4CEIRnPo7ZF9&#10;TVKzb9Psqmt/vVsQehxm5htmtgimFRfqXWNZwXiUgCAurW64UnA8bIZTEM4ja2wtk4IbOVjMn59m&#10;mGp75T1dcl+JCGGXooLa+y6V0pU1GXQj2xFH78v2Bn2UfSV1j9cIN62cJMm7NNhwXKixo3VN5Sk/&#10;GwWnYr1aZdnPWxU2xev0t9C7z2+t1MsgLD9AeAr+P/xob7WCyRj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tibsYAAADbAAAADwAAAAAAAAAAAAAAAACYAgAAZHJz&#10;L2Rvd25yZXYueG1sUEsFBgAAAAAEAAQA9QAAAIsDAAAAAA==&#10;" adj="19574" fillcolor="#dce6f2" strokecolor="#385d8a" strokeweight="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3" type="#_x0000_t202" style="position:absolute;left:591;top:876;width:19095;height:4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9EcYA&#10;AADb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rB3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t9EcYAAADbAAAADwAAAAAAAAAAAAAAAACYAgAAZHJz&#10;L2Rvd25yZXYueG1sUEsFBgAAAAAEAAQA9QAAAIsDAAAAAA==&#10;" filled="f" stroked="f">
                      <v:textbox>
                        <w:txbxContent>
                          <w:p w:rsidR="00CB4BCD" w:rsidRPr="004B5968" w:rsidRDefault="00CB4BCD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4B596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Priority outcomes</w:t>
                            </w:r>
                          </w:p>
                        </w:txbxContent>
                      </v:textbox>
                    </v:shape>
                  </v:group>
                  <v:group id="Group 23" o:spid="_x0000_s1034" style="position:absolute;left:22909;width:14801;height:20549" coordsize="14801,2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Right Arrow 24" o:spid="_x0000_s1035" type="#_x0000_t13" style="position:absolute;left:-6883;top:6883;width:20548;height:67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uxsEA&#10;AADbAAAADwAAAGRycy9kb3ducmV2LnhtbESPT4vCMBTE74LfITzBm6aKLFKNsqwICx7EP4ceH83b&#10;tGzzUpJsW7+9EYQ9DjPzG2a7H2wjOvKhdqxgMc9AEJdO12wU3G/H2RpEiMgaG8ek4EEB9rvxaIu5&#10;dj1fqLtGIxKEQ44KqhjbXMpQVmQxzF1LnLwf5y3GJL2R2mOf4LaRyyz7kBZrTgsVtvRVUfl7/bMK&#10;DpnuvR06LI4+mNO5MOFCRqnpZPjcgIg0xP/wu/2tFSxX8Pq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8rsbBAAAA2wAAAA8AAAAAAAAAAAAAAAAAmAIAAGRycy9kb3du&#10;cmV2LnhtbFBLBQYAAAAABAAEAPUAAACGAwAAAAA=&#10;" adj="18036" fillcolor="#c3d69b" strokecolor="#060" strokeweight=".25pt"/>
                    <v:shape id="Text Box 25" o:spid="_x0000_s1036" type="#_x0000_t202" style="position:absolute;left:622;top:1835;width:14630;height:13728;rotation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IEcIA&#10;AADbAAAADwAAAGRycy9kb3ducmV2LnhtbESPQWvCQBSE7wX/w/IEb3WjYCupq6hF9NBL1d4f2dck&#10;NPs2ZF+z8d93BaHHYWa+YVabwTWqpy7Ung3Mphko4sLbmksD18vheQkqCLLFxjMZuFGAzXr0tMLc&#10;+sif1J+lVAnCIUcDlUibax2KihyGqW+Jk/ftO4eSZFdq22FMcNfoeZa9aIc1p4UKW9pXVPycf52B&#10;rMRW9Nf+49S/HmW3iPGdZ9GYyXjYvoESGuQ//GifrIH5Au5f0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AgRwgAAANsAAAAPAAAAAAAAAAAAAAAAAJgCAABkcnMvZG93&#10;bnJldi54bWxQSwUGAAAAAAQABAD1AAAAhwMAAAAA&#10;" filled="f" stroked="f">
                      <v:textbox style="layout-flow:vertical">
                        <w:txbxContent>
                          <w:p w:rsidR="005E6F05" w:rsidRDefault="005E6F05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5E6F05" w:rsidRDefault="005E6F05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5E6F05" w:rsidRDefault="005E6F05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5E6F05" w:rsidRDefault="005E6F05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CB4BCD" w:rsidRPr="00480315" w:rsidRDefault="00CB4BCD" w:rsidP="008F44D0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80315">
                              <w:rPr>
                                <w:rFonts w:ascii="Gill Sans MT" w:hAnsi="Gill Sans MT"/>
                                <w:b/>
                                <w:color w:val="006600"/>
                                <w:sz w:val="32"/>
                                <w:szCs w:val="32"/>
                              </w:rPr>
                              <w:t>Priority shifts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62A62">
              <w:rPr>
                <w:rFonts w:ascii="Gill Sans MT" w:hAnsi="Gill Sans MT"/>
                <w:b/>
                <w:color w:val="1F497D" w:themeColor="text2"/>
                <w:sz w:val="24"/>
                <w:szCs w:val="24"/>
              </w:rPr>
              <w:t>The Health &amp; Wellbeing of Lancashire</w:t>
            </w:r>
            <w:r w:rsidRPr="00562A62">
              <w:rPr>
                <w:rFonts w:ascii="Gill Sans MT" w:hAnsi="Gill Sans MT"/>
                <w:color w:val="1F497D" w:themeColor="text2"/>
                <w:sz w:val="24"/>
                <w:szCs w:val="24"/>
              </w:rPr>
              <w:t xml:space="preserve"> </w:t>
            </w:r>
            <w:r w:rsidRPr="00562A62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t>2012</w:t>
            </w:r>
          </w:p>
        </w:tc>
        <w:tc>
          <w:tcPr>
            <w:tcW w:w="5529" w:type="dxa"/>
          </w:tcPr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44D0" w:rsidRPr="00562A62" w:rsidRDefault="008F44D0" w:rsidP="00CB4BCD">
            <w:pPr>
              <w:pStyle w:val="NoSpacing"/>
              <w:rPr>
                <w:rFonts w:ascii="Gill Sans MT" w:hAnsi="Gill Sans MT"/>
                <w:b/>
                <w:color w:val="1F497D" w:themeColor="text2"/>
                <w:sz w:val="24"/>
                <w:szCs w:val="24"/>
              </w:rPr>
            </w:pPr>
            <w:r w:rsidRPr="00562A62">
              <w:rPr>
                <w:rFonts w:ascii="Gill Sans MT" w:hAnsi="Gill Sans MT"/>
                <w:b/>
                <w:color w:val="1F497D" w:themeColor="text2"/>
                <w:sz w:val="24"/>
                <w:szCs w:val="24"/>
              </w:rPr>
              <w:t xml:space="preserve">The Health and Wellbeing of Lancashire </w:t>
            </w:r>
          </w:p>
          <w:p w:rsidR="008F44D0" w:rsidRPr="00562A62" w:rsidRDefault="008F44D0" w:rsidP="00CB4BCD">
            <w:pPr>
              <w:pStyle w:val="NoSpacing"/>
              <w:rPr>
                <w:rFonts w:ascii="Gill Sans MT" w:hAnsi="Gill Sans MT"/>
                <w:b/>
                <w:sz w:val="32"/>
                <w:szCs w:val="32"/>
              </w:rPr>
            </w:pPr>
            <w:r w:rsidRPr="00562A62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t>202</w:t>
            </w:r>
            <w:r w:rsidR="00F77A28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F44D0" w:rsidRPr="004B5968" w:rsidTr="00CB4BCD">
        <w:tc>
          <w:tcPr>
            <w:tcW w:w="1809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4D0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F44D0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F44D0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F44D0" w:rsidRPr="004B5968" w:rsidRDefault="008F44D0" w:rsidP="00CB4BCD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62A62">
              <w:rPr>
                <w:rFonts w:ascii="Gill Sans MT" w:hAnsi="Gill Sans MT"/>
                <w:b/>
                <w:color w:val="006600"/>
                <w:sz w:val="24"/>
                <w:szCs w:val="24"/>
              </w:rPr>
              <w:t>Ways of working</w:t>
            </w:r>
            <w:r w:rsidRPr="00562A62">
              <w:rPr>
                <w:rFonts w:ascii="Gill Sans MT" w:hAnsi="Gill Sans MT"/>
                <w:color w:val="006600"/>
                <w:sz w:val="24"/>
                <w:szCs w:val="24"/>
              </w:rPr>
              <w:t xml:space="preserve"> </w:t>
            </w:r>
            <w:r w:rsidRPr="00562A62">
              <w:rPr>
                <w:rFonts w:ascii="Gill Sans MT" w:hAnsi="Gill Sans MT"/>
                <w:b/>
                <w:sz w:val="32"/>
                <w:szCs w:val="32"/>
              </w:rPr>
              <w:t>202</w:t>
            </w:r>
            <w:r w:rsidR="00F77A28">
              <w:rPr>
                <w:rFonts w:ascii="Gill Sans MT" w:hAnsi="Gill Sans MT"/>
                <w:b/>
                <w:sz w:val="32"/>
                <w:szCs w:val="32"/>
              </w:rPr>
              <w:t>0</w:t>
            </w:r>
          </w:p>
        </w:tc>
        <w:tc>
          <w:tcPr>
            <w:tcW w:w="1904" w:type="dxa"/>
          </w:tcPr>
          <w:p w:rsidR="008F44D0" w:rsidRPr="004B5968" w:rsidRDefault="008F44D0" w:rsidP="00CB4BCD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A046F" w:rsidRDefault="00EA046F" w:rsidP="007403E2">
      <w:pPr>
        <w:pStyle w:val="NoSpacing"/>
        <w:rPr>
          <w:rFonts w:ascii="Gill Sans MT" w:hAnsi="Gill Sans MT"/>
          <w:sz w:val="24"/>
          <w:szCs w:val="24"/>
        </w:rPr>
      </w:pPr>
    </w:p>
    <w:p w:rsidR="00EA046F" w:rsidRDefault="00EA046F" w:rsidP="00EA046F">
      <w:pPr>
        <w:pStyle w:val="NoSpacing"/>
        <w:rPr>
          <w:rFonts w:ascii="Gill Sans MT" w:hAnsi="Gill Sans MT"/>
          <w:sz w:val="24"/>
          <w:szCs w:val="24"/>
        </w:rPr>
      </w:pPr>
    </w:p>
    <w:p w:rsidR="00855AAA" w:rsidRPr="000E129F" w:rsidRDefault="00EA046F" w:rsidP="00EA046F">
      <w:pPr>
        <w:pStyle w:val="NoSpacing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3.</w:t>
      </w:r>
      <w:r w:rsidR="005632B5">
        <w:rPr>
          <w:rFonts w:ascii="Gill Sans MT" w:hAnsi="Gill Sans MT"/>
          <w:b/>
          <w:sz w:val="32"/>
          <w:szCs w:val="32"/>
        </w:rPr>
        <w:t xml:space="preserve"> </w:t>
      </w:r>
      <w:r w:rsidR="00A45E46" w:rsidRPr="000E129F">
        <w:rPr>
          <w:rFonts w:ascii="Gill Sans MT" w:hAnsi="Gill Sans MT"/>
          <w:b/>
          <w:sz w:val="32"/>
          <w:szCs w:val="32"/>
        </w:rPr>
        <w:t>Priority shifts in ways of working</w:t>
      </w:r>
    </w:p>
    <w:p w:rsidR="00A45E46" w:rsidRDefault="00A45E46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466380" w:rsidRDefault="00262049" w:rsidP="00CE127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following shifts in the ways that partners work</w:t>
      </w:r>
      <w:r w:rsidR="005632B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were identified.</w:t>
      </w:r>
    </w:p>
    <w:p w:rsidR="00EA046F" w:rsidRDefault="00EA046F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262049" w:rsidRPr="00262049" w:rsidRDefault="00262049" w:rsidP="00CE1274">
      <w:pPr>
        <w:pStyle w:val="NoSpacing"/>
        <w:rPr>
          <w:rFonts w:ascii="Gill Sans MT" w:hAnsi="Gill Sans MT"/>
          <w:sz w:val="24"/>
          <w:szCs w:val="24"/>
          <w:u w:val="single"/>
        </w:rPr>
      </w:pPr>
      <w:r w:rsidRPr="00262049">
        <w:rPr>
          <w:rFonts w:ascii="Gill Sans MT" w:hAnsi="Gill Sans MT"/>
          <w:sz w:val="24"/>
          <w:szCs w:val="24"/>
          <w:u w:val="single"/>
        </w:rPr>
        <w:t xml:space="preserve">Table 1 Priority shifts in </w:t>
      </w:r>
      <w:r>
        <w:rPr>
          <w:rFonts w:ascii="Gill Sans MT" w:hAnsi="Gill Sans MT"/>
          <w:sz w:val="24"/>
          <w:szCs w:val="24"/>
          <w:u w:val="single"/>
        </w:rPr>
        <w:t xml:space="preserve">the </w:t>
      </w:r>
      <w:r w:rsidRPr="00262049">
        <w:rPr>
          <w:rFonts w:ascii="Gill Sans MT" w:hAnsi="Gill Sans MT"/>
          <w:sz w:val="24"/>
          <w:szCs w:val="24"/>
          <w:u w:val="single"/>
        </w:rPr>
        <w:t>ways that partners deliver services</w:t>
      </w:r>
    </w:p>
    <w:p w:rsidR="00262049" w:rsidRDefault="00262049" w:rsidP="00CE1274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42"/>
      </w:tblGrid>
      <w:tr w:rsidR="00C2137B" w:rsidRPr="00C2137B" w:rsidTr="00C2137B">
        <w:tc>
          <w:tcPr>
            <w:tcW w:w="9242" w:type="dxa"/>
          </w:tcPr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C2137B" w:rsidRDefault="00CB4BCD" w:rsidP="00C2137B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Shift resources towards interventions that prevent ill health and reduce demand for acute and residential service</w:t>
            </w:r>
            <w:r w:rsidR="005632B5">
              <w:rPr>
                <w:rFonts w:ascii="Gill Sans MT" w:hAnsi="Gill Sans MT"/>
                <w:sz w:val="24"/>
                <w:szCs w:val="24"/>
              </w:rPr>
              <w:t>s</w:t>
            </w:r>
          </w:p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2137B" w:rsidRPr="00C2137B" w:rsidTr="00C2137B">
        <w:tc>
          <w:tcPr>
            <w:tcW w:w="9242" w:type="dxa"/>
          </w:tcPr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C2137B" w:rsidRDefault="00CB4BCD" w:rsidP="00C2137B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Build </w:t>
            </w:r>
            <w:r w:rsidR="00073DED">
              <w:rPr>
                <w:rFonts w:ascii="Gill Sans MT" w:hAnsi="Gill Sans MT"/>
                <w:sz w:val="24"/>
                <w:szCs w:val="24"/>
              </w:rPr>
              <w:t xml:space="preserve">and utilise </w:t>
            </w:r>
            <w:r>
              <w:rPr>
                <w:rFonts w:ascii="Gill Sans MT" w:hAnsi="Gill Sans MT"/>
                <w:sz w:val="24"/>
                <w:szCs w:val="24"/>
              </w:rPr>
              <w:t>the assets, skills and resources of our citizens and communities</w:t>
            </w:r>
          </w:p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2137B" w:rsidRPr="00C2137B" w:rsidTr="00C2137B">
        <w:tc>
          <w:tcPr>
            <w:tcW w:w="9242" w:type="dxa"/>
          </w:tcPr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C2137B" w:rsidRPr="007403E2" w:rsidRDefault="00C2137B" w:rsidP="00CB4BCD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 w:rsidRPr="00C2137B">
              <w:rPr>
                <w:rFonts w:ascii="Gill Sans MT" w:hAnsi="Gill Sans MT"/>
                <w:sz w:val="24"/>
                <w:szCs w:val="24"/>
              </w:rPr>
              <w:t>Promote and support greater individual self-care and responsibility for health; making better use of information technology and advice.</w:t>
            </w:r>
          </w:p>
        </w:tc>
      </w:tr>
      <w:tr w:rsidR="00C2137B" w:rsidRPr="00C2137B" w:rsidTr="00C2137B">
        <w:tc>
          <w:tcPr>
            <w:tcW w:w="9242" w:type="dxa"/>
          </w:tcPr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C2137B" w:rsidRDefault="00C2137B" w:rsidP="00C2137B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 w:rsidRPr="00C2137B">
              <w:rPr>
                <w:rFonts w:ascii="Gill Sans MT" w:hAnsi="Gill Sans MT"/>
                <w:sz w:val="24"/>
                <w:szCs w:val="24"/>
              </w:rPr>
              <w:t>Commit to delivering accessibl</w:t>
            </w:r>
            <w:r w:rsidR="00CB4BCD">
              <w:rPr>
                <w:rFonts w:ascii="Gill Sans MT" w:hAnsi="Gill Sans MT"/>
                <w:sz w:val="24"/>
                <w:szCs w:val="24"/>
              </w:rPr>
              <w:t>e services within</w:t>
            </w:r>
            <w:r w:rsidRPr="00C2137B">
              <w:rPr>
                <w:rFonts w:ascii="Gill Sans MT" w:hAnsi="Gill Sans MT"/>
                <w:sz w:val="24"/>
                <w:szCs w:val="24"/>
              </w:rPr>
              <w:t xml:space="preserve"> communities; improving the experience of m</w:t>
            </w:r>
            <w:r w:rsidR="00CB4BCD">
              <w:rPr>
                <w:rFonts w:ascii="Gill Sans MT" w:hAnsi="Gill Sans MT"/>
                <w:sz w:val="24"/>
                <w:szCs w:val="24"/>
              </w:rPr>
              <w:t>oving between primary, hospital and social</w:t>
            </w:r>
            <w:r w:rsidRPr="00C2137B">
              <w:rPr>
                <w:rFonts w:ascii="Gill Sans MT" w:hAnsi="Gill Sans MT"/>
                <w:sz w:val="24"/>
                <w:szCs w:val="24"/>
              </w:rPr>
              <w:t xml:space="preserve"> care.</w:t>
            </w:r>
          </w:p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2137B" w:rsidRPr="00C2137B" w:rsidTr="00C2137B">
        <w:tc>
          <w:tcPr>
            <w:tcW w:w="9242" w:type="dxa"/>
          </w:tcPr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C25C57" w:rsidRDefault="00C2137B" w:rsidP="00C2137B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 w:rsidRPr="00C2137B">
              <w:rPr>
                <w:rFonts w:ascii="Gill Sans MT" w:hAnsi="Gill Sans MT"/>
                <w:sz w:val="24"/>
                <w:szCs w:val="24"/>
              </w:rPr>
              <w:t>Make joint working the default option; pooling budgets and resources to focus on priority outcomes, commissionin</w:t>
            </w:r>
            <w:r w:rsidR="00CB4BCD">
              <w:rPr>
                <w:rFonts w:ascii="Gill Sans MT" w:hAnsi="Gill Sans MT"/>
                <w:sz w:val="24"/>
                <w:szCs w:val="24"/>
              </w:rPr>
              <w:t xml:space="preserve">g together on the basis of intelligence and </w:t>
            </w:r>
            <w:r w:rsidRPr="00C2137B">
              <w:rPr>
                <w:rFonts w:ascii="Gill Sans MT" w:hAnsi="Gill Sans MT"/>
                <w:sz w:val="24"/>
                <w:szCs w:val="24"/>
              </w:rPr>
              <w:t xml:space="preserve">evidence; sharing responsibilities for service delivery and combining services in the most </w:t>
            </w:r>
          </w:p>
          <w:p w:rsidR="00C2137B" w:rsidRDefault="00C2137B" w:rsidP="00C25C57">
            <w:pPr>
              <w:pStyle w:val="NoSpacing"/>
              <w:ind w:left="720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C2137B">
              <w:rPr>
                <w:rFonts w:ascii="Gill Sans MT" w:hAnsi="Gill Sans MT"/>
                <w:sz w:val="24"/>
                <w:szCs w:val="24"/>
              </w:rPr>
              <w:t>effective</w:t>
            </w:r>
            <w:proofErr w:type="gramEnd"/>
            <w:r w:rsidRPr="00C2137B">
              <w:rPr>
                <w:rFonts w:ascii="Gill Sans MT" w:hAnsi="Gill Sans MT"/>
                <w:sz w:val="24"/>
                <w:szCs w:val="24"/>
              </w:rPr>
              <w:t xml:space="preserve"> way; sharing risk.</w:t>
            </w:r>
          </w:p>
          <w:p w:rsidR="00C2137B" w:rsidRPr="00C2137B" w:rsidRDefault="00C2137B" w:rsidP="00CB4BCD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262049" w:rsidRDefault="00CB4BCD" w:rsidP="00E60B5D">
      <w:pPr>
        <w:pStyle w:val="NoSpacing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Work to narrow the gap in health and wellbeing and its determinants </w:t>
      </w:r>
    </w:p>
    <w:p w:rsidR="005632B5" w:rsidRDefault="005632B5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A45E46" w:rsidRPr="000E129F" w:rsidRDefault="00466380" w:rsidP="00EA046F">
      <w:pPr>
        <w:pStyle w:val="NoSpacing"/>
        <w:numPr>
          <w:ilvl w:val="0"/>
          <w:numId w:val="5"/>
        </w:numPr>
        <w:rPr>
          <w:rFonts w:ascii="Gill Sans MT" w:hAnsi="Gill Sans MT"/>
          <w:b/>
          <w:sz w:val="32"/>
          <w:szCs w:val="32"/>
        </w:rPr>
      </w:pPr>
      <w:r w:rsidRPr="000E129F">
        <w:rPr>
          <w:rFonts w:ascii="Gill Sans MT" w:hAnsi="Gill Sans MT"/>
          <w:b/>
          <w:color w:val="404040" w:themeColor="text1" w:themeTint="BF"/>
          <w:sz w:val="32"/>
          <w:szCs w:val="32"/>
        </w:rPr>
        <w:lastRenderedPageBreak/>
        <w:t xml:space="preserve">Priority </w:t>
      </w:r>
      <w:r w:rsidR="00653BCA" w:rsidRPr="000E129F">
        <w:rPr>
          <w:rFonts w:ascii="Gill Sans MT" w:hAnsi="Gill Sans MT"/>
          <w:b/>
          <w:color w:val="404040" w:themeColor="text1" w:themeTint="BF"/>
          <w:sz w:val="32"/>
          <w:szCs w:val="32"/>
        </w:rPr>
        <w:t>Health and Wellbeing outcomes</w:t>
      </w:r>
    </w:p>
    <w:p w:rsidR="00A933FF" w:rsidRDefault="00A933FF" w:rsidP="00A933FF">
      <w:pPr>
        <w:pStyle w:val="NoSpacing"/>
        <w:rPr>
          <w:rFonts w:ascii="Gill Sans MT" w:hAnsi="Gill Sans MT"/>
          <w:b/>
          <w:sz w:val="24"/>
          <w:szCs w:val="24"/>
        </w:rPr>
      </w:pPr>
    </w:p>
    <w:p w:rsidR="00A933FF" w:rsidRPr="00A933FF" w:rsidRDefault="00A933FF" w:rsidP="002C2917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Task Group discussed </w:t>
      </w:r>
      <w:r w:rsidR="000E129F">
        <w:rPr>
          <w:rFonts w:ascii="Gill Sans MT" w:hAnsi="Gill Sans MT"/>
          <w:sz w:val="24"/>
          <w:szCs w:val="24"/>
        </w:rPr>
        <w:t>both the</w:t>
      </w:r>
      <w:r w:rsidR="002C2917">
        <w:rPr>
          <w:rFonts w:ascii="Gill Sans MT" w:hAnsi="Gill Sans MT"/>
          <w:sz w:val="24"/>
          <w:szCs w:val="24"/>
        </w:rPr>
        <w:t xml:space="preserve"> priority outcomes that the strategy will deliver and also possible ‘early wins’ i.e. s</w:t>
      </w:r>
      <w:r w:rsidR="002C2917" w:rsidRPr="00A933FF">
        <w:rPr>
          <w:rFonts w:ascii="Gill Sans MT" w:hAnsi="Gill Sans MT"/>
          <w:sz w:val="24"/>
          <w:szCs w:val="24"/>
        </w:rPr>
        <w:t>pecific areas for action that will help deliver the priority outcomes whilst ‘modelling’ desired shifts in the ways that partners work together</w:t>
      </w:r>
      <w:r w:rsidR="002C2917">
        <w:rPr>
          <w:rFonts w:ascii="Gill Sans MT" w:hAnsi="Gill Sans MT"/>
          <w:sz w:val="24"/>
          <w:szCs w:val="24"/>
        </w:rPr>
        <w:t>.</w:t>
      </w:r>
    </w:p>
    <w:p w:rsidR="00A933FF" w:rsidRDefault="00A933FF" w:rsidP="00A933FF">
      <w:pPr>
        <w:pStyle w:val="NoSpacing"/>
        <w:rPr>
          <w:rFonts w:ascii="Gill Sans MT" w:hAnsi="Gill Sans MT"/>
          <w:b/>
          <w:sz w:val="24"/>
          <w:szCs w:val="24"/>
        </w:rPr>
      </w:pPr>
    </w:p>
    <w:p w:rsidR="00A933FF" w:rsidRPr="000E129F" w:rsidRDefault="000E129F" w:rsidP="00A933FF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Priorities</w:t>
      </w:r>
      <w:r w:rsidR="00A933FF" w:rsidRPr="000E129F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for action</w:t>
      </w:r>
      <w:r w:rsidR="00A933FF" w:rsidRPr="000E129F">
        <w:rPr>
          <w:rFonts w:ascii="Gill Sans MT" w:hAnsi="Gill Sans MT"/>
          <w:b/>
          <w:sz w:val="28"/>
          <w:szCs w:val="28"/>
        </w:rPr>
        <w:t xml:space="preserve"> in Lancashire</w:t>
      </w:r>
    </w:p>
    <w:p w:rsidR="00A933FF" w:rsidRDefault="00A933FF" w:rsidP="00A933FF">
      <w:pPr>
        <w:pStyle w:val="NoSpacing"/>
        <w:rPr>
          <w:rFonts w:ascii="Gill Sans MT" w:hAnsi="Gill Sans MT"/>
          <w:sz w:val="16"/>
          <w:szCs w:val="16"/>
        </w:rPr>
      </w:pPr>
    </w:p>
    <w:p w:rsidR="00A933FF" w:rsidRDefault="00A933FF" w:rsidP="00A933FF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Task Group discussed the ‘priority outcomes’ for the strategy in Lancashire</w:t>
      </w:r>
      <w:r w:rsidR="005632B5">
        <w:rPr>
          <w:rFonts w:ascii="Gill Sans MT" w:hAnsi="Gill Sans MT"/>
          <w:sz w:val="24"/>
          <w:szCs w:val="24"/>
        </w:rPr>
        <w:t>, informed by intelligence from the Lancashire Joint Strategic Needs Assessment</w:t>
      </w:r>
    </w:p>
    <w:p w:rsidR="00A933FF" w:rsidRDefault="00A933FF" w:rsidP="00A933FF">
      <w:pPr>
        <w:pStyle w:val="NoSpacing"/>
        <w:rPr>
          <w:rFonts w:ascii="Gill Sans MT" w:hAnsi="Gill Sans MT"/>
          <w:sz w:val="24"/>
          <w:szCs w:val="24"/>
        </w:rPr>
      </w:pPr>
    </w:p>
    <w:p w:rsidR="00A933FF" w:rsidRPr="00A933FF" w:rsidRDefault="00A933FF" w:rsidP="00A933FF">
      <w:pPr>
        <w:pStyle w:val="NoSpacing"/>
        <w:rPr>
          <w:rFonts w:ascii="Gill Sans MT" w:hAnsi="Gill Sans MT"/>
          <w:sz w:val="24"/>
          <w:szCs w:val="24"/>
          <w:u w:val="single"/>
        </w:rPr>
      </w:pPr>
      <w:r w:rsidRPr="00A933FF">
        <w:rPr>
          <w:rFonts w:ascii="Gill Sans MT" w:hAnsi="Gill Sans MT"/>
          <w:sz w:val="24"/>
          <w:szCs w:val="24"/>
          <w:u w:val="single"/>
        </w:rPr>
        <w:t>Table 2 Priority health and wellbeing outcomes in Lancashire</w:t>
      </w:r>
    </w:p>
    <w:p w:rsidR="00A933FF" w:rsidRDefault="00A933FF" w:rsidP="00A933FF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42"/>
      </w:tblGrid>
      <w:tr w:rsidR="00A933FF" w:rsidRPr="00A933FF" w:rsidTr="00A933FF">
        <w:tc>
          <w:tcPr>
            <w:tcW w:w="9242" w:type="dxa"/>
          </w:tcPr>
          <w:p w:rsidR="00A933FF" w:rsidRPr="002C2917" w:rsidRDefault="00A933FF" w:rsidP="00CB4BCD">
            <w:pPr>
              <w:pStyle w:val="NoSpacing"/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</w:p>
          <w:p w:rsidR="00F43B44" w:rsidRDefault="00F43B44" w:rsidP="00CB4BCD">
            <w:pPr>
              <w:pStyle w:val="NoSpacing"/>
              <w:numPr>
                <w:ilvl w:val="0"/>
                <w:numId w:val="20"/>
              </w:num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  <w:t>Maternal and child health</w:t>
            </w:r>
            <w:r w:rsidR="00A933FF" w:rsidRPr="00A933FF">
              <w:rPr>
                <w:rFonts w:ascii="Gill Sans MT" w:hAnsi="Gill Sans MT"/>
                <w:sz w:val="24"/>
                <w:szCs w:val="24"/>
              </w:rPr>
              <w:t xml:space="preserve">. 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F43B44" w:rsidRDefault="00F43B44" w:rsidP="00F43B44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F43B44" w:rsidRPr="00F43B44" w:rsidRDefault="00F43B44" w:rsidP="001D08CB">
            <w:pPr>
              <w:pStyle w:val="NoSpacing"/>
              <w:numPr>
                <w:ilvl w:val="0"/>
                <w:numId w:val="27"/>
              </w:num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t>To provide accessible and effective support and services to expectant mothers and their families</w:t>
            </w:r>
          </w:p>
          <w:p w:rsidR="00F43B44" w:rsidRDefault="00F43B44" w:rsidP="001D08CB">
            <w:pPr>
              <w:pStyle w:val="NoSpacing"/>
              <w:numPr>
                <w:ilvl w:val="0"/>
                <w:numId w:val="27"/>
              </w:num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t>To promote and safeguard the health and wellbeing of pre-school age children</w:t>
            </w:r>
          </w:p>
          <w:p w:rsidR="00F43B44" w:rsidRDefault="00F43B44" w:rsidP="00F43B44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F43B44" w:rsidRPr="00F43B44" w:rsidRDefault="00F43B44" w:rsidP="00F43B44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33FF" w:rsidRPr="00A933FF" w:rsidTr="00A933FF">
        <w:tc>
          <w:tcPr>
            <w:tcW w:w="9242" w:type="dxa"/>
          </w:tcPr>
          <w:p w:rsidR="00A933FF" w:rsidRPr="002C2917" w:rsidRDefault="00A933FF" w:rsidP="00CB4BCD">
            <w:pPr>
              <w:pStyle w:val="NoSpacing"/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</w:p>
          <w:p w:rsidR="00A933FF" w:rsidRPr="00F43B44" w:rsidRDefault="00F43B44" w:rsidP="00CB4BCD">
            <w:pPr>
              <w:pStyle w:val="NoSpacing"/>
              <w:numPr>
                <w:ilvl w:val="0"/>
                <w:numId w:val="20"/>
              </w:num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  <w:t>Mental Health &amp; Wellbeing</w:t>
            </w:r>
          </w:p>
          <w:p w:rsidR="00F43B44" w:rsidRDefault="00F43B44" w:rsidP="00F43B44">
            <w:pPr>
              <w:pStyle w:val="NoSpacing"/>
              <w:ind w:left="720"/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</w:pPr>
          </w:p>
          <w:p w:rsidR="00F43B44" w:rsidRPr="00F43B44" w:rsidRDefault="00F43B44" w:rsidP="001D08CB">
            <w:pPr>
              <w:pStyle w:val="NoSpacing"/>
              <w:numPr>
                <w:ilvl w:val="0"/>
                <w:numId w:val="26"/>
              </w:numP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</w:pP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To promote emotional health &amp; wellbeing in </w:t>
            </w:r>
            <w:r w:rsidR="00CB4BCD"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children</w:t>
            </w: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 and adults</w:t>
            </w:r>
          </w:p>
          <w:p w:rsidR="00F43B44" w:rsidRPr="00E9126C" w:rsidRDefault="00F43B44" w:rsidP="00E9126C">
            <w:pPr>
              <w:pStyle w:val="NoSpacing"/>
              <w:numPr>
                <w:ilvl w:val="0"/>
                <w:numId w:val="26"/>
              </w:numPr>
              <w:rPr>
                <w:rFonts w:ascii="Gill Sans MT" w:hAnsi="Gill Sans MT"/>
                <w:sz w:val="16"/>
                <w:szCs w:val="16"/>
              </w:rPr>
            </w:pP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To support people of all ages who are affected by mental health play a full and active role in society </w:t>
            </w:r>
          </w:p>
          <w:p w:rsidR="00F43B44" w:rsidRPr="002C2917" w:rsidRDefault="00F43B44" w:rsidP="00F43B44">
            <w:pPr>
              <w:pStyle w:val="NoSpacing"/>
              <w:ind w:left="72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33FF" w:rsidRPr="00A933FF" w:rsidTr="00A933FF">
        <w:tc>
          <w:tcPr>
            <w:tcW w:w="9242" w:type="dxa"/>
          </w:tcPr>
          <w:p w:rsidR="00A933FF" w:rsidRPr="002C2917" w:rsidRDefault="00A933FF" w:rsidP="00CB4BCD">
            <w:pPr>
              <w:pStyle w:val="NoSpacing"/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</w:p>
          <w:p w:rsidR="00A933FF" w:rsidRPr="00F43B44" w:rsidRDefault="00F43B44" w:rsidP="00CB4BCD">
            <w:pPr>
              <w:pStyle w:val="NoSpacing"/>
              <w:numPr>
                <w:ilvl w:val="0"/>
                <w:numId w:val="20"/>
              </w:numPr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  <w:t>Long term conditions</w:t>
            </w:r>
          </w:p>
          <w:p w:rsidR="00F43B44" w:rsidRDefault="00F43B44" w:rsidP="00F43B44">
            <w:pPr>
              <w:pStyle w:val="NoSpacing"/>
              <w:ind w:left="720"/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</w:pPr>
          </w:p>
          <w:p w:rsidR="00F43B44" w:rsidRPr="00F43B44" w:rsidRDefault="00F43B44" w:rsidP="001D08CB">
            <w:pPr>
              <w:pStyle w:val="NoSpacing"/>
              <w:numPr>
                <w:ilvl w:val="0"/>
                <w:numId w:val="28"/>
              </w:numP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</w:pP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To reduce the incidence of</w:t>
            </w:r>
            <w:r w:rsidR="005632B5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,</w:t>
            </w: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 and mortality from</w:t>
            </w:r>
            <w:r w:rsidR="005632B5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,</w:t>
            </w: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 long term conditions</w:t>
            </w:r>
          </w:p>
          <w:p w:rsidR="00F43B44" w:rsidRPr="00F43B44" w:rsidRDefault="00F43B44" w:rsidP="001D08CB">
            <w:pPr>
              <w:pStyle w:val="NoSpacing"/>
              <w:numPr>
                <w:ilvl w:val="0"/>
                <w:numId w:val="28"/>
              </w:numP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</w:pPr>
            <w:r w:rsidRPr="00F43B44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To improve quality of life for people with long term conditions and their carers</w:t>
            </w:r>
          </w:p>
          <w:p w:rsidR="00375492" w:rsidRDefault="00375492">
            <w:pPr>
              <w:pStyle w:val="NoSpacing"/>
              <w:ind w:left="1080"/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A933FF" w:rsidRPr="00A933FF" w:rsidTr="00A933FF">
        <w:tc>
          <w:tcPr>
            <w:tcW w:w="9242" w:type="dxa"/>
          </w:tcPr>
          <w:p w:rsidR="00A933FF" w:rsidRPr="002C2917" w:rsidRDefault="00A933FF" w:rsidP="00CB4BCD">
            <w:pPr>
              <w:pStyle w:val="NoSpacing"/>
              <w:rPr>
                <w:rFonts w:ascii="Gill Sans MT" w:hAnsi="Gill Sans MT"/>
                <w:b/>
                <w:color w:val="404040" w:themeColor="text1" w:themeTint="BF"/>
                <w:sz w:val="16"/>
                <w:szCs w:val="16"/>
              </w:rPr>
            </w:pPr>
          </w:p>
          <w:p w:rsidR="00CB4BCD" w:rsidRPr="00EA046F" w:rsidRDefault="00A933FF" w:rsidP="00EA046F">
            <w:pPr>
              <w:pStyle w:val="NoSpacing"/>
              <w:numPr>
                <w:ilvl w:val="0"/>
                <w:numId w:val="20"/>
              </w:numPr>
              <w:rPr>
                <w:rFonts w:ascii="Gill Sans MT" w:hAnsi="Gill Sans MT"/>
                <w:sz w:val="16"/>
                <w:szCs w:val="16"/>
              </w:rPr>
            </w:pPr>
            <w:r w:rsidRPr="00A933FF">
              <w:rPr>
                <w:rFonts w:ascii="Gill Sans MT" w:hAnsi="Gill Sans MT"/>
                <w:b/>
                <w:color w:val="404040" w:themeColor="text1" w:themeTint="BF"/>
                <w:sz w:val="24"/>
                <w:szCs w:val="24"/>
              </w:rPr>
              <w:t xml:space="preserve">Improve health and independence of older people. </w:t>
            </w:r>
          </w:p>
          <w:p w:rsidR="00CB4BCD" w:rsidRPr="00CB4BCD" w:rsidRDefault="00131D53" w:rsidP="001D08CB">
            <w:pPr>
              <w:pStyle w:val="NoSpacing"/>
              <w:numPr>
                <w:ilvl w:val="0"/>
                <w:numId w:val="29"/>
              </w:numP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</w:pPr>
            <w: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To increase healthy li</w:t>
            </w:r>
            <w:r w:rsidR="00CB4BCD" w:rsidRPr="00CB4BCD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>fe expectancy for those aged 65</w:t>
            </w:r>
          </w:p>
          <w:p w:rsidR="00CB4BCD" w:rsidRPr="00CB4BCD" w:rsidRDefault="00CB4BCD" w:rsidP="001D08CB">
            <w:pPr>
              <w:pStyle w:val="NoSpacing"/>
              <w:numPr>
                <w:ilvl w:val="0"/>
                <w:numId w:val="29"/>
              </w:numPr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</w:pPr>
            <w:r w:rsidRPr="00CB4BCD">
              <w:rPr>
                <w:rFonts w:ascii="Gill Sans MT" w:hAnsi="Gill Sans MT"/>
                <w:color w:val="404040" w:themeColor="text1" w:themeTint="BF"/>
                <w:sz w:val="24"/>
                <w:szCs w:val="24"/>
              </w:rPr>
              <w:t xml:space="preserve">To support older people and their carers play a full and active role in society </w:t>
            </w:r>
          </w:p>
          <w:p w:rsidR="00CB4BCD" w:rsidRPr="002C2917" w:rsidRDefault="00CB4BCD" w:rsidP="00CB4BCD">
            <w:pPr>
              <w:pStyle w:val="NoSpacing"/>
              <w:ind w:left="72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F77A28" w:rsidRDefault="00F77A28" w:rsidP="00CE1274">
      <w:pPr>
        <w:pStyle w:val="NoSpacing"/>
        <w:rPr>
          <w:rFonts w:ascii="Gill Sans MT" w:hAnsi="Gill Sans MT"/>
          <w:b/>
          <w:sz w:val="28"/>
          <w:szCs w:val="28"/>
        </w:rPr>
      </w:pPr>
    </w:p>
    <w:p w:rsidR="007C2F73" w:rsidRPr="002C2917" w:rsidRDefault="00EA046F" w:rsidP="00CE1274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5</w:t>
      </w:r>
      <w:r w:rsidR="007403E2">
        <w:rPr>
          <w:rFonts w:ascii="Gill Sans MT" w:hAnsi="Gill Sans MT"/>
          <w:b/>
          <w:sz w:val="28"/>
          <w:szCs w:val="28"/>
        </w:rPr>
        <w:t>.</w:t>
      </w:r>
      <w:r w:rsidR="002C2917" w:rsidRPr="002C2917">
        <w:rPr>
          <w:rFonts w:ascii="Gill Sans MT" w:hAnsi="Gill Sans MT"/>
          <w:b/>
          <w:sz w:val="28"/>
          <w:szCs w:val="28"/>
        </w:rPr>
        <w:t xml:space="preserve"> </w:t>
      </w:r>
      <w:r w:rsidR="001D08CB">
        <w:rPr>
          <w:rFonts w:ascii="Gill Sans MT" w:hAnsi="Gill Sans MT"/>
          <w:b/>
          <w:sz w:val="28"/>
          <w:szCs w:val="28"/>
        </w:rPr>
        <w:t xml:space="preserve">Delivering ‘Interventions </w:t>
      </w:r>
      <w:r w:rsidR="007C2F73" w:rsidRPr="002C2917">
        <w:rPr>
          <w:rFonts w:ascii="Gill Sans MT" w:hAnsi="Gill Sans MT"/>
          <w:b/>
          <w:sz w:val="28"/>
          <w:szCs w:val="28"/>
        </w:rPr>
        <w:t>’</w:t>
      </w:r>
    </w:p>
    <w:p w:rsidR="00C2137B" w:rsidRDefault="00C2137B" w:rsidP="00CE1274">
      <w:pPr>
        <w:pStyle w:val="NoSpacing"/>
        <w:rPr>
          <w:rFonts w:ascii="Gill Sans MT" w:hAnsi="Gill Sans MT"/>
          <w:sz w:val="24"/>
          <w:szCs w:val="24"/>
        </w:rPr>
      </w:pPr>
    </w:p>
    <w:p w:rsidR="001D08CB" w:rsidRDefault="00C2137B" w:rsidP="00423717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423717">
        <w:rPr>
          <w:rFonts w:ascii="Gill Sans MT" w:hAnsi="Gill Sans MT"/>
          <w:sz w:val="24"/>
          <w:szCs w:val="24"/>
        </w:rPr>
        <w:t>The Task Group</w:t>
      </w:r>
      <w:r w:rsidR="008026B4" w:rsidRPr="00423717">
        <w:rPr>
          <w:rFonts w:ascii="Gill Sans MT" w:hAnsi="Gill Sans MT"/>
          <w:sz w:val="24"/>
          <w:szCs w:val="24"/>
        </w:rPr>
        <w:t xml:space="preserve"> supported the view </w:t>
      </w:r>
      <w:r w:rsidR="00423717" w:rsidRPr="00423717">
        <w:rPr>
          <w:rFonts w:ascii="Gill Sans MT" w:hAnsi="Gill Sans MT"/>
          <w:sz w:val="24"/>
          <w:szCs w:val="24"/>
        </w:rPr>
        <w:t xml:space="preserve">expressed by </w:t>
      </w:r>
      <w:r w:rsidR="008026B4" w:rsidRPr="00423717">
        <w:rPr>
          <w:rFonts w:ascii="Gill Sans MT" w:hAnsi="Gill Sans MT"/>
          <w:sz w:val="24"/>
          <w:szCs w:val="24"/>
        </w:rPr>
        <w:t xml:space="preserve">the shadow Health and Wellbeing </w:t>
      </w:r>
      <w:r w:rsidR="0049272A" w:rsidRPr="00423717">
        <w:rPr>
          <w:rFonts w:ascii="Gill Sans MT" w:hAnsi="Gill Sans MT"/>
          <w:sz w:val="24"/>
          <w:szCs w:val="24"/>
        </w:rPr>
        <w:t>Board that</w:t>
      </w:r>
      <w:r w:rsidR="00423717" w:rsidRPr="00423717">
        <w:rPr>
          <w:rFonts w:ascii="Gill Sans MT" w:hAnsi="Gill Sans MT"/>
          <w:sz w:val="24"/>
          <w:szCs w:val="24"/>
        </w:rPr>
        <w:t xml:space="preserve"> the strategy must emphasi</w:t>
      </w:r>
      <w:r w:rsidR="001D08CB">
        <w:rPr>
          <w:rFonts w:ascii="Gill Sans MT" w:hAnsi="Gill Sans MT"/>
          <w:sz w:val="24"/>
          <w:szCs w:val="24"/>
        </w:rPr>
        <w:t xml:space="preserve">se the delivery of ‘concrete’ </w:t>
      </w:r>
      <w:r w:rsidR="00E9126C">
        <w:rPr>
          <w:rFonts w:ascii="Gill Sans MT" w:hAnsi="Gill Sans MT"/>
          <w:sz w:val="24"/>
          <w:szCs w:val="24"/>
        </w:rPr>
        <w:t>interventions</w:t>
      </w:r>
      <w:r w:rsidR="00E9126C" w:rsidRPr="00423717">
        <w:rPr>
          <w:rFonts w:ascii="Gill Sans MT" w:hAnsi="Gill Sans MT"/>
          <w:sz w:val="24"/>
          <w:szCs w:val="24"/>
        </w:rPr>
        <w:t xml:space="preserve"> (</w:t>
      </w:r>
      <w:r w:rsidR="00423717" w:rsidRPr="00423717">
        <w:rPr>
          <w:rFonts w:ascii="Gill Sans MT" w:hAnsi="Gill Sans MT"/>
          <w:sz w:val="24"/>
          <w:szCs w:val="24"/>
        </w:rPr>
        <w:t xml:space="preserve">services, sets </w:t>
      </w:r>
      <w:r w:rsidR="00423717">
        <w:rPr>
          <w:rFonts w:ascii="Gill Sans MT" w:hAnsi="Gill Sans MT"/>
          <w:sz w:val="24"/>
          <w:szCs w:val="24"/>
        </w:rPr>
        <w:t>of services, pathways) where partners will get significant and demonstrable</w:t>
      </w:r>
      <w:r w:rsidR="00423717" w:rsidRPr="00423717">
        <w:rPr>
          <w:rFonts w:ascii="Gill Sans MT" w:hAnsi="Gill Sans MT"/>
          <w:sz w:val="24"/>
          <w:szCs w:val="24"/>
        </w:rPr>
        <w:t xml:space="preserve"> results</w:t>
      </w:r>
      <w:r w:rsidR="0049272A">
        <w:rPr>
          <w:rFonts w:ascii="Gill Sans MT" w:hAnsi="Gill Sans MT"/>
          <w:sz w:val="24"/>
          <w:szCs w:val="24"/>
        </w:rPr>
        <w:t xml:space="preserve"> and through which the Board can test out and learn from new ways of working.</w:t>
      </w:r>
    </w:p>
    <w:p w:rsidR="001D08CB" w:rsidRDefault="001D08CB" w:rsidP="00423717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1D08CB" w:rsidRDefault="001D08CB" w:rsidP="00423717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Task Group had a view that these "</w:t>
      </w:r>
      <w:r w:rsidR="0049272A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 xml:space="preserve">nterventions" are those which we cannot allow ourselves to fail. It was described as we have a moral duty to get these interventions right for the people of Lancashire. </w:t>
      </w:r>
      <w:r w:rsidR="00F77A28">
        <w:rPr>
          <w:rFonts w:ascii="Gill Sans MT" w:hAnsi="Gill Sans MT"/>
          <w:sz w:val="24"/>
          <w:szCs w:val="24"/>
        </w:rPr>
        <w:t xml:space="preserve"> Appendix 1 gives a brief rational on each of the chosen interventions. </w:t>
      </w:r>
    </w:p>
    <w:p w:rsidR="001D08CB" w:rsidRDefault="001D08CB" w:rsidP="00423717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1D08CB" w:rsidRPr="00BE1925" w:rsidRDefault="00423717" w:rsidP="001D08CB">
      <w:pPr>
        <w:pStyle w:val="NoSpacing"/>
        <w:rPr>
          <w:rFonts w:ascii="Gill Sans MT" w:hAnsi="Gill Sans MT"/>
          <w:b/>
          <w:sz w:val="28"/>
          <w:szCs w:val="28"/>
        </w:rPr>
      </w:pPr>
      <w:r w:rsidRPr="001D08CB">
        <w:rPr>
          <w:rFonts w:ascii="Gill Sans MT" w:hAnsi="Gill Sans MT"/>
          <w:b/>
          <w:sz w:val="24"/>
          <w:szCs w:val="24"/>
        </w:rPr>
        <w:lastRenderedPageBreak/>
        <w:t xml:space="preserve"> </w:t>
      </w:r>
      <w:r w:rsidR="001D08CB" w:rsidRPr="001D08CB">
        <w:rPr>
          <w:rFonts w:ascii="Gill Sans MT" w:hAnsi="Gill Sans MT"/>
          <w:b/>
          <w:sz w:val="28"/>
          <w:szCs w:val="28"/>
        </w:rPr>
        <w:t>Suggested</w:t>
      </w:r>
      <w:r w:rsidR="001D08CB">
        <w:rPr>
          <w:rFonts w:ascii="Gill Sans MT" w:hAnsi="Gill Sans MT"/>
          <w:sz w:val="24"/>
          <w:szCs w:val="24"/>
        </w:rPr>
        <w:t xml:space="preserve"> </w:t>
      </w:r>
      <w:r w:rsidR="001D08CB" w:rsidRPr="00BE1925">
        <w:rPr>
          <w:rFonts w:ascii="Gill Sans MT" w:hAnsi="Gill Sans MT"/>
          <w:b/>
          <w:sz w:val="28"/>
          <w:szCs w:val="28"/>
        </w:rPr>
        <w:t>Interventions</w:t>
      </w:r>
    </w:p>
    <w:p w:rsidR="001D08CB" w:rsidRDefault="001D08CB" w:rsidP="001D08CB">
      <w:pPr>
        <w:pStyle w:val="NoSpacing"/>
        <w:rPr>
          <w:rFonts w:ascii="Gill Sans MT" w:hAnsi="Gill Sans MT"/>
          <w:sz w:val="24"/>
          <w:szCs w:val="24"/>
        </w:rPr>
      </w:pPr>
    </w:p>
    <w:p w:rsidR="001D08CB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Identify those who are at risk of admission into hospital and provide appropriate  intervention</w:t>
      </w:r>
    </w:p>
    <w:p w:rsidR="001D08CB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Holistic support to</w:t>
      </w:r>
      <w:r w:rsidR="00BE37A0">
        <w:rPr>
          <w:rFonts w:ascii="Gill Sans MT" w:hAnsi="Gill Sans MT"/>
          <w:sz w:val="24"/>
          <w:szCs w:val="24"/>
        </w:rPr>
        <w:t xml:space="preserve"> those vulnerable</w:t>
      </w:r>
      <w:r>
        <w:rPr>
          <w:rFonts w:ascii="Gill Sans MT" w:hAnsi="Gill Sans MT"/>
          <w:sz w:val="24"/>
          <w:szCs w:val="24"/>
        </w:rPr>
        <w:t xml:space="preserve"> families </w:t>
      </w:r>
      <w:r w:rsidR="00646D72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from first pregnancy</w:t>
      </w:r>
      <w:r w:rsidR="00646D72">
        <w:rPr>
          <w:rFonts w:ascii="Gill Sans MT" w:hAnsi="Gill Sans MT"/>
          <w:sz w:val="24"/>
          <w:szCs w:val="24"/>
        </w:rPr>
        <w:t>)</w:t>
      </w:r>
    </w:p>
    <w:p w:rsidR="001D08CB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Early response to domestic violence</w:t>
      </w:r>
    </w:p>
    <w:p w:rsidR="001D08CB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Support for carers (of dementia patients)</w:t>
      </w:r>
    </w:p>
    <w:p w:rsidR="005A0C84" w:rsidRPr="005A0C84" w:rsidRDefault="00E745CC" w:rsidP="005A0C84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Address l</w:t>
      </w:r>
      <w:r w:rsidR="001D08CB">
        <w:rPr>
          <w:rFonts w:ascii="Gill Sans MT" w:hAnsi="Gill Sans MT"/>
          <w:sz w:val="24"/>
          <w:szCs w:val="24"/>
        </w:rPr>
        <w:t>oneliness in older people</w:t>
      </w:r>
    </w:p>
    <w:p w:rsidR="001D08CB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Affordable warmth</w:t>
      </w:r>
      <w:r w:rsidR="00E9126C">
        <w:rPr>
          <w:rFonts w:ascii="Gill Sans MT" w:hAnsi="Gill Sans MT"/>
          <w:sz w:val="24"/>
          <w:szCs w:val="24"/>
        </w:rPr>
        <w:t xml:space="preserve"> to those who need it most </w:t>
      </w:r>
    </w:p>
    <w:p w:rsidR="001D08CB" w:rsidRDefault="00BE37A0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Alcohol liaison</w:t>
      </w:r>
      <w:r w:rsidR="001D08CB">
        <w:rPr>
          <w:rFonts w:ascii="Gill Sans MT" w:hAnsi="Gill Sans MT"/>
          <w:sz w:val="24"/>
          <w:szCs w:val="24"/>
        </w:rPr>
        <w:t xml:space="preserve"> nurses</w:t>
      </w:r>
    </w:p>
    <w:p w:rsidR="00BE37A0" w:rsidRDefault="00646D72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Healthy Weight – environmental measures</w:t>
      </w:r>
    </w:p>
    <w:p w:rsidR="001D08CB" w:rsidRDefault="00BE37A0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Tackling s</w:t>
      </w:r>
      <w:r w:rsidR="001D08CB">
        <w:rPr>
          <w:rFonts w:ascii="Gill Sans MT" w:hAnsi="Gill Sans MT"/>
          <w:sz w:val="24"/>
          <w:szCs w:val="24"/>
        </w:rPr>
        <w:t>moking in pregnancy</w:t>
      </w:r>
    </w:p>
    <w:p w:rsidR="001D08CB" w:rsidRPr="00EA046F" w:rsidRDefault="001D08CB" w:rsidP="001D08CB">
      <w:pPr>
        <w:pStyle w:val="NoSpacing"/>
        <w:numPr>
          <w:ilvl w:val="0"/>
          <w:numId w:val="2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Self-care – </w:t>
      </w:r>
      <w:r w:rsidR="00BE37A0">
        <w:rPr>
          <w:rFonts w:ascii="Gill Sans MT" w:hAnsi="Gill Sans MT"/>
          <w:sz w:val="24"/>
          <w:szCs w:val="24"/>
        </w:rPr>
        <w:t xml:space="preserve"> encourage people to take control of their own health &amp; wellbeing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1D08CB" w:rsidRDefault="001D08CB" w:rsidP="001D08CB">
      <w:pPr>
        <w:pStyle w:val="NoSpacing"/>
        <w:rPr>
          <w:rFonts w:ascii="Gill Sans MT" w:hAnsi="Gill Sans MT"/>
          <w:sz w:val="24"/>
          <w:szCs w:val="24"/>
        </w:rPr>
      </w:pPr>
    </w:p>
    <w:p w:rsidR="0049272A" w:rsidRDefault="0049272A" w:rsidP="001D08CB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task group proposes that the Board should invite partners from across the county to </w:t>
      </w:r>
      <w:r w:rsidR="00F77A28">
        <w:rPr>
          <w:rFonts w:ascii="Gill Sans MT" w:hAnsi="Gill Sans MT"/>
          <w:sz w:val="24"/>
          <w:szCs w:val="24"/>
        </w:rPr>
        <w:t xml:space="preserve">engage in developing the strategy and early interventions and </w:t>
      </w:r>
      <w:r>
        <w:rPr>
          <w:rFonts w:ascii="Gill Sans MT" w:hAnsi="Gill Sans MT"/>
          <w:sz w:val="24"/>
          <w:szCs w:val="24"/>
        </w:rPr>
        <w:t xml:space="preserve">specify their contribution to the priority outcomes and shifts set out in the strategy. </w:t>
      </w:r>
    </w:p>
    <w:p w:rsidR="0049272A" w:rsidRDefault="0049272A" w:rsidP="001D08CB">
      <w:pPr>
        <w:pStyle w:val="NoSpacing"/>
        <w:rPr>
          <w:rFonts w:ascii="Gill Sans MT" w:hAnsi="Gill Sans MT"/>
          <w:sz w:val="24"/>
          <w:szCs w:val="24"/>
        </w:rPr>
      </w:pPr>
    </w:p>
    <w:p w:rsidR="00F77A28" w:rsidRDefault="00EA046F" w:rsidP="001D08CB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6. Proposed A</w:t>
      </w:r>
      <w:r w:rsidR="001D08CB" w:rsidRPr="00BE1925">
        <w:rPr>
          <w:rFonts w:ascii="Gill Sans MT" w:hAnsi="Gill Sans MT"/>
          <w:b/>
          <w:sz w:val="28"/>
          <w:szCs w:val="28"/>
        </w:rPr>
        <w:t>ctions</w:t>
      </w:r>
    </w:p>
    <w:p w:rsidR="00E9126C" w:rsidRPr="00F77A28" w:rsidRDefault="00E9126C" w:rsidP="001D08CB">
      <w:pPr>
        <w:pStyle w:val="NoSpacing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188"/>
        <w:gridCol w:w="1054"/>
      </w:tblGrid>
      <w:tr w:rsidR="001D08CB" w:rsidRPr="00877023" w:rsidTr="00F95AC5">
        <w:tc>
          <w:tcPr>
            <w:tcW w:w="8188" w:type="dxa"/>
            <w:tcBorders>
              <w:bottom w:val="single" w:sz="18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877023">
              <w:rPr>
                <w:rFonts w:ascii="Gill Sans MT" w:hAnsi="Gill Sans MT"/>
                <w:i/>
                <w:sz w:val="24"/>
                <w:szCs w:val="24"/>
              </w:rPr>
              <w:t>What?</w:t>
            </w:r>
          </w:p>
        </w:tc>
        <w:tc>
          <w:tcPr>
            <w:tcW w:w="1054" w:type="dxa"/>
            <w:tcBorders>
              <w:bottom w:val="single" w:sz="18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877023">
              <w:rPr>
                <w:rFonts w:ascii="Gill Sans MT" w:hAnsi="Gill Sans MT"/>
                <w:i/>
                <w:sz w:val="24"/>
                <w:szCs w:val="24"/>
              </w:rPr>
              <w:t>When?</w:t>
            </w:r>
          </w:p>
        </w:tc>
      </w:tr>
      <w:tr w:rsidR="001D08CB" w:rsidRPr="00877023" w:rsidTr="00F95AC5">
        <w:tc>
          <w:tcPr>
            <w:tcW w:w="8188" w:type="dxa"/>
            <w:tcBorders>
              <w:top w:val="single" w:sz="18" w:space="0" w:color="BFBFBF" w:themeColor="background1" w:themeShade="BF"/>
            </w:tcBorders>
          </w:tcPr>
          <w:p w:rsidR="001D08CB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a summary of the emerging strategy</w:t>
            </w:r>
          </w:p>
          <w:p w:rsidR="001D08CB" w:rsidRPr="00877023" w:rsidRDefault="001D08CB" w:rsidP="001D08CB">
            <w:pPr>
              <w:pStyle w:val="NoSpacing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Refine the interventions following discussion with key partners and experts</w:t>
            </w:r>
          </w:p>
        </w:tc>
        <w:tc>
          <w:tcPr>
            <w:tcW w:w="1054" w:type="dxa"/>
            <w:tcBorders>
              <w:top w:val="single" w:sz="18" w:space="0" w:color="BFBFBF" w:themeColor="background1" w:themeShade="BF"/>
              <w:bottom w:val="nil"/>
            </w:tcBorders>
          </w:tcPr>
          <w:p w:rsidR="001D08CB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  <w:r w:rsidRPr="00877023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May</w:t>
            </w:r>
          </w:p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Board</w:t>
            </w:r>
          </w:p>
        </w:tc>
      </w:tr>
      <w:tr w:rsidR="001D08CB" w:rsidRPr="00877023" w:rsidTr="00F95AC5">
        <w:tc>
          <w:tcPr>
            <w:tcW w:w="8188" w:type="dxa"/>
            <w:tcBorders>
              <w:bottom w:val="single" w:sz="12" w:space="0" w:color="BFBFBF" w:themeColor="background1" w:themeShade="BF"/>
            </w:tcBorders>
          </w:tcPr>
          <w:p w:rsidR="001D08CB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 w:rsidRPr="00877023">
              <w:rPr>
                <w:rFonts w:ascii="Gill Sans MT" w:hAnsi="Gill Sans MT"/>
                <w:sz w:val="24"/>
                <w:szCs w:val="24"/>
              </w:rPr>
              <w:t xml:space="preserve">Prepare a concise document showing </w:t>
            </w:r>
            <w:r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877023">
              <w:rPr>
                <w:rFonts w:ascii="Gill Sans MT" w:hAnsi="Gill Sans MT"/>
                <w:sz w:val="24"/>
                <w:szCs w:val="24"/>
              </w:rPr>
              <w:t>proposed programme of work for the Health and Wellbeing Board</w:t>
            </w:r>
          </w:p>
          <w:p w:rsidR="001D08CB" w:rsidRPr="00877023" w:rsidRDefault="001D08CB" w:rsidP="001D08CB">
            <w:pPr>
              <w:pStyle w:val="NoSpacing"/>
              <w:numPr>
                <w:ilvl w:val="0"/>
                <w:numId w:val="2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a consultation timeline</w:t>
            </w:r>
          </w:p>
        </w:tc>
        <w:tc>
          <w:tcPr>
            <w:tcW w:w="1054" w:type="dxa"/>
            <w:tcBorders>
              <w:top w:val="nil"/>
              <w:bottom w:val="single" w:sz="12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  <w:tcBorders>
              <w:top w:val="single" w:sz="12" w:space="0" w:color="BFBFBF" w:themeColor="background1" w:themeShade="BF"/>
            </w:tcBorders>
          </w:tcPr>
          <w:p w:rsidR="001D08CB" w:rsidRPr="00877023" w:rsidRDefault="001D08CB" w:rsidP="0049272A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Complete initial </w:t>
            </w:r>
            <w:r w:rsidR="0049272A">
              <w:rPr>
                <w:rFonts w:ascii="Gill Sans MT" w:hAnsi="Gill Sans MT"/>
                <w:sz w:val="24"/>
                <w:szCs w:val="24"/>
              </w:rPr>
              <w:t xml:space="preserve">engagement </w:t>
            </w:r>
            <w:r>
              <w:rPr>
                <w:rFonts w:ascii="Gill Sans MT" w:hAnsi="Gill Sans MT"/>
                <w:sz w:val="24"/>
                <w:szCs w:val="24"/>
              </w:rPr>
              <w:t>with CCG reps, District Councils, Third Sector CYP Trust etc.</w:t>
            </w:r>
          </w:p>
        </w:tc>
        <w:tc>
          <w:tcPr>
            <w:tcW w:w="1054" w:type="dxa"/>
            <w:tcBorders>
              <w:top w:val="single" w:sz="12" w:space="0" w:color="BFBFBF" w:themeColor="background1" w:themeShade="BF"/>
              <w:bottom w:val="nil"/>
            </w:tcBorders>
          </w:tcPr>
          <w:p w:rsidR="001D08CB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29</w:t>
            </w:r>
            <w:r w:rsidRPr="00CD7358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May</w:t>
            </w:r>
          </w:p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Board</w:t>
            </w:r>
          </w:p>
        </w:tc>
      </w:tr>
      <w:tr w:rsidR="001D08CB" w:rsidRPr="00877023" w:rsidTr="00F95AC5">
        <w:tc>
          <w:tcPr>
            <w:tcW w:w="8188" w:type="dxa"/>
          </w:tcPr>
          <w:p w:rsidR="001D08CB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the narrative for the strategy as a whole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</w:tcPr>
          <w:p w:rsidR="001D08CB" w:rsidRPr="00877023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the detailed outcomes, objectives and measures of success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</w:tcPr>
          <w:p w:rsidR="001D08CB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Clarify the detail of the proposed interventions</w:t>
            </w:r>
            <w:r w:rsidR="0049272A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</w:tcPr>
          <w:p w:rsidR="001D08CB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concise summary of the evidence-base of the strategy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  <w:tcBorders>
              <w:bottom w:val="single" w:sz="12" w:space="0" w:color="BFBFBF" w:themeColor="background1" w:themeShade="BF"/>
            </w:tcBorders>
          </w:tcPr>
          <w:p w:rsidR="001D08CB" w:rsidRPr="00877023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Prepare vignettes to demonstrate </w:t>
            </w:r>
            <w:r w:rsidR="0049272A">
              <w:rPr>
                <w:rFonts w:ascii="Gill Sans MT" w:hAnsi="Gill Sans MT"/>
                <w:sz w:val="24"/>
                <w:szCs w:val="24"/>
              </w:rPr>
              <w:t>the imperative for the interventions</w:t>
            </w:r>
          </w:p>
        </w:tc>
        <w:tc>
          <w:tcPr>
            <w:tcW w:w="1054" w:type="dxa"/>
            <w:tcBorders>
              <w:top w:val="nil"/>
              <w:bottom w:val="single" w:sz="12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08CB" w:rsidRPr="00877023" w:rsidTr="00F95AC5">
        <w:tc>
          <w:tcPr>
            <w:tcW w:w="8188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</w:tcPr>
          <w:p w:rsidR="001D08CB" w:rsidRPr="00877023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Complete additional consultation on interventions</w:t>
            </w:r>
          </w:p>
        </w:tc>
        <w:tc>
          <w:tcPr>
            <w:tcW w:w="1054" w:type="dxa"/>
            <w:tcBorders>
              <w:top w:val="single" w:sz="12" w:space="0" w:color="BFBFBF" w:themeColor="background1" w:themeShade="BF"/>
              <w:bottom w:val="nil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  <w:r w:rsidRPr="00CD7358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July</w:t>
            </w:r>
          </w:p>
        </w:tc>
      </w:tr>
      <w:tr w:rsidR="001D08CB" w:rsidRPr="00877023" w:rsidTr="00F95AC5">
        <w:tc>
          <w:tcPr>
            <w:tcW w:w="8188" w:type="dxa"/>
            <w:tcBorders>
              <w:bottom w:val="single" w:sz="12" w:space="0" w:color="BFBFBF" w:themeColor="background1" w:themeShade="BF"/>
            </w:tcBorders>
          </w:tcPr>
          <w:p w:rsidR="001D08CB" w:rsidRPr="00877023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Prepare draft strategy for submission to the Board</w:t>
            </w:r>
          </w:p>
        </w:tc>
        <w:tc>
          <w:tcPr>
            <w:tcW w:w="1054" w:type="dxa"/>
            <w:tcBorders>
              <w:top w:val="nil"/>
              <w:bottom w:val="single" w:sz="12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Board</w:t>
            </w:r>
          </w:p>
        </w:tc>
      </w:tr>
      <w:tr w:rsidR="001D08CB" w:rsidRPr="00877023" w:rsidTr="00F95AC5">
        <w:tc>
          <w:tcPr>
            <w:tcW w:w="8188" w:type="dxa"/>
            <w:tcBorders>
              <w:top w:val="single" w:sz="12" w:space="0" w:color="BFBFBF" w:themeColor="background1" w:themeShade="BF"/>
            </w:tcBorders>
          </w:tcPr>
          <w:p w:rsidR="001D08CB" w:rsidRPr="00877023" w:rsidRDefault="001D08CB" w:rsidP="001D08CB">
            <w:pPr>
              <w:pStyle w:val="NoSpacing"/>
              <w:numPr>
                <w:ilvl w:val="0"/>
                <w:numId w:val="2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Complete in-depth engagement with partners on the strategy and proposed interventions and secure partner support for implementation of the broader strategy and identified interventions</w:t>
            </w:r>
          </w:p>
        </w:tc>
        <w:tc>
          <w:tcPr>
            <w:tcW w:w="1054" w:type="dxa"/>
            <w:tcBorders>
              <w:top w:val="single" w:sz="12" w:space="0" w:color="BFBFBF" w:themeColor="background1" w:themeShade="BF"/>
            </w:tcBorders>
          </w:tcPr>
          <w:p w:rsidR="001D08CB" w:rsidRPr="00877023" w:rsidRDefault="001D08CB" w:rsidP="00F95AC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Sept</w:t>
            </w:r>
          </w:p>
        </w:tc>
      </w:tr>
    </w:tbl>
    <w:p w:rsidR="008C3E5E" w:rsidRDefault="008C3E5E">
      <w:pPr>
        <w:rPr>
          <w:rFonts w:ascii="Gill Sans MT" w:hAnsi="Gill Sans MT"/>
          <w:sz w:val="24"/>
          <w:szCs w:val="24"/>
        </w:rPr>
      </w:pPr>
    </w:p>
    <w:sectPr w:rsidR="008C3E5E" w:rsidSect="007449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27" w:rsidRDefault="004A3E27" w:rsidP="00653BCA">
      <w:pPr>
        <w:spacing w:after="0" w:line="240" w:lineRule="auto"/>
      </w:pPr>
      <w:r>
        <w:separator/>
      </w:r>
    </w:p>
  </w:endnote>
  <w:endnote w:type="continuationSeparator" w:id="0">
    <w:p w:rsidR="004A3E27" w:rsidRDefault="004A3E27" w:rsidP="006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CD" w:rsidRDefault="00CB4BCD">
    <w:pPr>
      <w:pStyle w:val="Footer"/>
      <w:jc w:val="right"/>
    </w:pPr>
  </w:p>
  <w:p w:rsidR="00CB4BCD" w:rsidRDefault="00CB4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27" w:rsidRDefault="004A3E27" w:rsidP="00653BCA">
      <w:pPr>
        <w:spacing w:after="0" w:line="240" w:lineRule="auto"/>
      </w:pPr>
      <w:r>
        <w:separator/>
      </w:r>
    </w:p>
  </w:footnote>
  <w:footnote w:type="continuationSeparator" w:id="0">
    <w:p w:rsidR="004A3E27" w:rsidRDefault="004A3E27" w:rsidP="0065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2B5"/>
    <w:multiLevelType w:val="hybridMultilevel"/>
    <w:tmpl w:val="9F5295FE"/>
    <w:lvl w:ilvl="0" w:tplc="119E2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00392"/>
    <w:multiLevelType w:val="hybridMultilevel"/>
    <w:tmpl w:val="FA1A5D14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7EF5"/>
    <w:multiLevelType w:val="hybridMultilevel"/>
    <w:tmpl w:val="03203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C0623"/>
    <w:multiLevelType w:val="hybridMultilevel"/>
    <w:tmpl w:val="4BE8861E"/>
    <w:lvl w:ilvl="0" w:tplc="119E2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81DC7"/>
    <w:multiLevelType w:val="hybridMultilevel"/>
    <w:tmpl w:val="3DBE1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95BEA"/>
    <w:multiLevelType w:val="hybridMultilevel"/>
    <w:tmpl w:val="F65E399E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693A"/>
    <w:multiLevelType w:val="hybridMultilevel"/>
    <w:tmpl w:val="3BA0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4104"/>
    <w:multiLevelType w:val="hybridMultilevel"/>
    <w:tmpl w:val="590A5566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265C9"/>
    <w:multiLevelType w:val="hybridMultilevel"/>
    <w:tmpl w:val="E7764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86706"/>
    <w:multiLevelType w:val="hybridMultilevel"/>
    <w:tmpl w:val="75D4AAB8"/>
    <w:lvl w:ilvl="0" w:tplc="F7947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156E"/>
    <w:multiLevelType w:val="hybridMultilevel"/>
    <w:tmpl w:val="15A844C8"/>
    <w:lvl w:ilvl="0" w:tplc="90CA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D24DAD"/>
    <w:multiLevelType w:val="hybridMultilevel"/>
    <w:tmpl w:val="6F20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66F5A"/>
    <w:multiLevelType w:val="hybridMultilevel"/>
    <w:tmpl w:val="2898B53A"/>
    <w:lvl w:ilvl="0" w:tplc="90CA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381E8F"/>
    <w:multiLevelType w:val="hybridMultilevel"/>
    <w:tmpl w:val="3728829E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3B38"/>
    <w:multiLevelType w:val="hybridMultilevel"/>
    <w:tmpl w:val="9E5A6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66B22"/>
    <w:multiLevelType w:val="hybridMultilevel"/>
    <w:tmpl w:val="8198212A"/>
    <w:lvl w:ilvl="0" w:tplc="F7947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C03A2"/>
    <w:multiLevelType w:val="hybridMultilevel"/>
    <w:tmpl w:val="1AC6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2705F"/>
    <w:multiLevelType w:val="hybridMultilevel"/>
    <w:tmpl w:val="B4244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82E"/>
    <w:multiLevelType w:val="hybridMultilevel"/>
    <w:tmpl w:val="D4BE356E"/>
    <w:lvl w:ilvl="0" w:tplc="D97CEB48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74D4"/>
    <w:multiLevelType w:val="hybridMultilevel"/>
    <w:tmpl w:val="76200444"/>
    <w:lvl w:ilvl="0" w:tplc="90CA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97EC1"/>
    <w:multiLevelType w:val="hybridMultilevel"/>
    <w:tmpl w:val="000C435C"/>
    <w:lvl w:ilvl="0" w:tplc="0E1CCED6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F19B4"/>
    <w:multiLevelType w:val="hybridMultilevel"/>
    <w:tmpl w:val="C3564248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D336A"/>
    <w:multiLevelType w:val="hybridMultilevel"/>
    <w:tmpl w:val="682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94A54"/>
    <w:multiLevelType w:val="hybridMultilevel"/>
    <w:tmpl w:val="5524A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95CC4"/>
    <w:multiLevelType w:val="hybridMultilevel"/>
    <w:tmpl w:val="E7764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7164F5"/>
    <w:multiLevelType w:val="hybridMultilevel"/>
    <w:tmpl w:val="AA8671C6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116F1"/>
    <w:multiLevelType w:val="hybridMultilevel"/>
    <w:tmpl w:val="C246A8CC"/>
    <w:lvl w:ilvl="0" w:tplc="90CA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47D3E"/>
    <w:multiLevelType w:val="hybridMultilevel"/>
    <w:tmpl w:val="19EC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1B7F"/>
    <w:multiLevelType w:val="hybridMultilevel"/>
    <w:tmpl w:val="3258A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671970"/>
    <w:multiLevelType w:val="hybridMultilevel"/>
    <w:tmpl w:val="319EF094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A414E"/>
    <w:multiLevelType w:val="hybridMultilevel"/>
    <w:tmpl w:val="332EF0C6"/>
    <w:lvl w:ilvl="0" w:tplc="90CA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E60D85"/>
    <w:multiLevelType w:val="hybridMultilevel"/>
    <w:tmpl w:val="8D625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0"/>
  </w:num>
  <w:num w:numId="5">
    <w:abstractNumId w:val="24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25"/>
  </w:num>
  <w:num w:numId="14">
    <w:abstractNumId w:val="13"/>
  </w:num>
  <w:num w:numId="15">
    <w:abstractNumId w:val="28"/>
  </w:num>
  <w:num w:numId="16">
    <w:abstractNumId w:val="27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26"/>
  </w:num>
  <w:num w:numId="22">
    <w:abstractNumId w:val="20"/>
  </w:num>
  <w:num w:numId="23">
    <w:abstractNumId w:val="7"/>
  </w:num>
  <w:num w:numId="24">
    <w:abstractNumId w:val="4"/>
  </w:num>
  <w:num w:numId="25">
    <w:abstractNumId w:val="31"/>
  </w:num>
  <w:num w:numId="26">
    <w:abstractNumId w:val="10"/>
  </w:num>
  <w:num w:numId="27">
    <w:abstractNumId w:val="12"/>
  </w:num>
  <w:num w:numId="28">
    <w:abstractNumId w:val="30"/>
  </w:num>
  <w:num w:numId="29">
    <w:abstractNumId w:val="19"/>
  </w:num>
  <w:num w:numId="30">
    <w:abstractNumId w:val="14"/>
  </w:num>
  <w:num w:numId="31">
    <w:abstractNumId w:val="2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48"/>
    <w:rsid w:val="00001905"/>
    <w:rsid w:val="00062AB4"/>
    <w:rsid w:val="00073DED"/>
    <w:rsid w:val="000E129F"/>
    <w:rsid w:val="000E221E"/>
    <w:rsid w:val="00116848"/>
    <w:rsid w:val="00131D53"/>
    <w:rsid w:val="001749AE"/>
    <w:rsid w:val="001D08CB"/>
    <w:rsid w:val="00262049"/>
    <w:rsid w:val="00263E58"/>
    <w:rsid w:val="00264DC1"/>
    <w:rsid w:val="00291808"/>
    <w:rsid w:val="002C2917"/>
    <w:rsid w:val="00332117"/>
    <w:rsid w:val="00350629"/>
    <w:rsid w:val="003701FC"/>
    <w:rsid w:val="00375492"/>
    <w:rsid w:val="003B7578"/>
    <w:rsid w:val="00423717"/>
    <w:rsid w:val="00432D78"/>
    <w:rsid w:val="00466380"/>
    <w:rsid w:val="00480315"/>
    <w:rsid w:val="004821C8"/>
    <w:rsid w:val="0049272A"/>
    <w:rsid w:val="004A3E27"/>
    <w:rsid w:val="004B5968"/>
    <w:rsid w:val="004E1CD6"/>
    <w:rsid w:val="00515748"/>
    <w:rsid w:val="00515F40"/>
    <w:rsid w:val="0054404B"/>
    <w:rsid w:val="00562A62"/>
    <w:rsid w:val="005632B5"/>
    <w:rsid w:val="0057245C"/>
    <w:rsid w:val="005A0C84"/>
    <w:rsid w:val="005B0F8C"/>
    <w:rsid w:val="005B3AF1"/>
    <w:rsid w:val="005C0039"/>
    <w:rsid w:val="005E6F05"/>
    <w:rsid w:val="00646D72"/>
    <w:rsid w:val="00646EE5"/>
    <w:rsid w:val="00653BCA"/>
    <w:rsid w:val="006A3902"/>
    <w:rsid w:val="006C2123"/>
    <w:rsid w:val="007329C3"/>
    <w:rsid w:val="007403E2"/>
    <w:rsid w:val="00744989"/>
    <w:rsid w:val="00771181"/>
    <w:rsid w:val="00794CC8"/>
    <w:rsid w:val="007A1213"/>
    <w:rsid w:val="007C2F73"/>
    <w:rsid w:val="008026B4"/>
    <w:rsid w:val="00855AAA"/>
    <w:rsid w:val="008A2468"/>
    <w:rsid w:val="008B4ECA"/>
    <w:rsid w:val="008C3E5E"/>
    <w:rsid w:val="008C6F2F"/>
    <w:rsid w:val="008F44D0"/>
    <w:rsid w:val="00927460"/>
    <w:rsid w:val="00997D14"/>
    <w:rsid w:val="00A45E46"/>
    <w:rsid w:val="00A609B9"/>
    <w:rsid w:val="00A933FF"/>
    <w:rsid w:val="00AE2A83"/>
    <w:rsid w:val="00B478CE"/>
    <w:rsid w:val="00B94C53"/>
    <w:rsid w:val="00BE37A0"/>
    <w:rsid w:val="00C2137B"/>
    <w:rsid w:val="00C25C57"/>
    <w:rsid w:val="00CB4BCD"/>
    <w:rsid w:val="00CC01EB"/>
    <w:rsid w:val="00CE0C6C"/>
    <w:rsid w:val="00CE1274"/>
    <w:rsid w:val="00D215B9"/>
    <w:rsid w:val="00D64520"/>
    <w:rsid w:val="00D81028"/>
    <w:rsid w:val="00DC0F18"/>
    <w:rsid w:val="00E500B3"/>
    <w:rsid w:val="00E60B5D"/>
    <w:rsid w:val="00E62706"/>
    <w:rsid w:val="00E745CC"/>
    <w:rsid w:val="00E9126C"/>
    <w:rsid w:val="00EA046F"/>
    <w:rsid w:val="00EA33AA"/>
    <w:rsid w:val="00EC5F5B"/>
    <w:rsid w:val="00F02B26"/>
    <w:rsid w:val="00F32812"/>
    <w:rsid w:val="00F43B44"/>
    <w:rsid w:val="00F54F7B"/>
    <w:rsid w:val="00F55B35"/>
    <w:rsid w:val="00F77A28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748"/>
    <w:pPr>
      <w:spacing w:after="0" w:line="240" w:lineRule="auto"/>
    </w:pPr>
  </w:style>
  <w:style w:type="table" w:styleId="TableGrid">
    <w:name w:val="Table Grid"/>
    <w:basedOn w:val="TableNormal"/>
    <w:uiPriority w:val="59"/>
    <w:rsid w:val="0077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CA"/>
  </w:style>
  <w:style w:type="paragraph" w:styleId="Footer">
    <w:name w:val="footer"/>
    <w:basedOn w:val="Normal"/>
    <w:link w:val="FooterChar"/>
    <w:uiPriority w:val="99"/>
    <w:unhideWhenUsed/>
    <w:rsid w:val="0065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CA"/>
  </w:style>
  <w:style w:type="paragraph" w:styleId="BalloonText">
    <w:name w:val="Balloon Text"/>
    <w:basedOn w:val="Normal"/>
    <w:link w:val="BalloonTextChar"/>
    <w:uiPriority w:val="99"/>
    <w:semiHidden/>
    <w:unhideWhenUsed/>
    <w:rsid w:val="0048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E2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748"/>
    <w:pPr>
      <w:spacing w:after="0" w:line="240" w:lineRule="auto"/>
    </w:pPr>
  </w:style>
  <w:style w:type="table" w:styleId="TableGrid">
    <w:name w:val="Table Grid"/>
    <w:basedOn w:val="TableNormal"/>
    <w:uiPriority w:val="59"/>
    <w:rsid w:val="0077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CA"/>
  </w:style>
  <w:style w:type="paragraph" w:styleId="Footer">
    <w:name w:val="footer"/>
    <w:basedOn w:val="Normal"/>
    <w:link w:val="FooterChar"/>
    <w:uiPriority w:val="99"/>
    <w:unhideWhenUsed/>
    <w:rsid w:val="0065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CA"/>
  </w:style>
  <w:style w:type="paragraph" w:styleId="BalloonText">
    <w:name w:val="Balloon Text"/>
    <w:basedOn w:val="Normal"/>
    <w:link w:val="BalloonTextChar"/>
    <w:uiPriority w:val="99"/>
    <w:semiHidden/>
    <w:unhideWhenUsed/>
    <w:rsid w:val="0048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EFC3-F16C-4BD1-B70C-FF47FE9A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amilroy001</cp:lastModifiedBy>
  <cp:revision>3</cp:revision>
  <cp:lastPrinted>2012-04-17T10:26:00Z</cp:lastPrinted>
  <dcterms:created xsi:type="dcterms:W3CDTF">2012-05-03T08:11:00Z</dcterms:created>
  <dcterms:modified xsi:type="dcterms:W3CDTF">2012-05-03T09:18:00Z</dcterms:modified>
</cp:coreProperties>
</file>